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948"/>
        <w:gridCol w:w="450"/>
        <w:gridCol w:w="450"/>
        <w:gridCol w:w="450"/>
        <w:gridCol w:w="1001"/>
        <w:gridCol w:w="1001"/>
      </w:tblGrid>
      <w:tr w:rsidR="004B27F4" w14:paraId="6AB3A379" w14:textId="77777777">
        <w:trPr>
          <w:cantSplit/>
          <w:tblHeader/>
        </w:trPr>
        <w:tc>
          <w:tcPr>
            <w:tcW w:w="6948" w:type="dxa"/>
            <w:tcBorders>
              <w:top w:val="single" w:sz="6" w:space="0" w:color="auto"/>
              <w:bottom w:val="single" w:sz="6" w:space="0" w:color="auto"/>
            </w:tcBorders>
          </w:tcPr>
          <w:p w14:paraId="2944809D" w14:textId="77777777" w:rsidR="004B27F4" w:rsidRDefault="004B27F4" w:rsidP="008B4383">
            <w:pPr>
              <w:pStyle w:val="unformattedtext"/>
              <w:spacing w:before="60" w:after="0"/>
              <w:jc w:val="center"/>
              <w:rPr>
                <w:rFonts w:ascii="Arial" w:hAnsi="Arial"/>
                <w:smallCaps/>
                <w:sz w:val="16"/>
              </w:rPr>
            </w:pPr>
            <w:r>
              <w:rPr>
                <w:rFonts w:ascii="Arial" w:hAnsi="Arial"/>
                <w:smallCaps/>
                <w:sz w:val="16"/>
              </w:rPr>
              <w:t xml:space="preserve">LEGEND — </w:t>
            </w:r>
            <w:r>
              <w:rPr>
                <w:rFonts w:ascii="Arial" w:hAnsi="Arial"/>
                <w:b/>
                <w:smallCaps/>
                <w:sz w:val="16"/>
              </w:rPr>
              <w:t>NA</w:t>
            </w:r>
            <w:r>
              <w:rPr>
                <w:rFonts w:ascii="Arial" w:hAnsi="Arial"/>
                <w:smallCaps/>
                <w:sz w:val="16"/>
              </w:rPr>
              <w:t xml:space="preserve"> </w:t>
            </w:r>
            <w:r>
              <w:rPr>
                <w:rFonts w:ascii="Arial" w:hAnsi="Arial"/>
                <w:sz w:val="16"/>
              </w:rPr>
              <w:t xml:space="preserve">= Not </w:t>
            </w:r>
            <w:proofErr w:type="gramStart"/>
            <w:r>
              <w:rPr>
                <w:rFonts w:ascii="Arial" w:hAnsi="Arial"/>
                <w:sz w:val="16"/>
              </w:rPr>
              <w:t>applicable</w:t>
            </w:r>
            <w:r>
              <w:rPr>
                <w:rFonts w:ascii="Arial" w:hAnsi="Arial"/>
                <w:smallCaps/>
                <w:sz w:val="16"/>
              </w:rPr>
              <w:t xml:space="preserve">  </w:t>
            </w:r>
            <w:r>
              <w:rPr>
                <w:rFonts w:ascii="Arial" w:hAnsi="Arial"/>
                <w:b/>
                <w:smallCaps/>
                <w:sz w:val="16"/>
              </w:rPr>
              <w:t>L</w:t>
            </w:r>
            <w:proofErr w:type="gramEnd"/>
            <w:r>
              <w:rPr>
                <w:rFonts w:ascii="Arial" w:hAnsi="Arial"/>
                <w:smallCaps/>
                <w:sz w:val="16"/>
              </w:rPr>
              <w:t xml:space="preserve"> =</w:t>
            </w:r>
            <w:r>
              <w:rPr>
                <w:rFonts w:ascii="Arial" w:hAnsi="Arial"/>
                <w:sz w:val="16"/>
              </w:rPr>
              <w:t xml:space="preserve"> Lawyer</w:t>
            </w:r>
            <w:r>
              <w:rPr>
                <w:rFonts w:ascii="Arial" w:hAnsi="Arial"/>
                <w:smallCaps/>
                <w:sz w:val="16"/>
              </w:rPr>
              <w:t xml:space="preserve">  </w:t>
            </w:r>
            <w:r>
              <w:rPr>
                <w:rFonts w:ascii="Arial" w:hAnsi="Arial"/>
                <w:b/>
                <w:smallCaps/>
                <w:sz w:val="16"/>
              </w:rPr>
              <w:t>LA</w:t>
            </w:r>
            <w:r>
              <w:rPr>
                <w:rFonts w:ascii="Arial" w:hAnsi="Arial"/>
                <w:sz w:val="16"/>
              </w:rPr>
              <w:t xml:space="preserve"> = Legal assistant</w:t>
            </w:r>
          </w:p>
          <w:p w14:paraId="4406CED1" w14:textId="77777777" w:rsidR="004B27F4" w:rsidRDefault="004B27F4" w:rsidP="008B4383">
            <w:pPr>
              <w:pStyle w:val="unformattedtext"/>
              <w:spacing w:before="60" w:after="0"/>
              <w:jc w:val="center"/>
              <w:rPr>
                <w:rFonts w:ascii="Arial" w:hAnsi="Arial"/>
                <w:smallCaps/>
                <w:sz w:val="16"/>
              </w:rPr>
            </w:pPr>
            <w:r>
              <w:rPr>
                <w:rFonts w:ascii="Arial" w:hAnsi="Arial"/>
                <w:smallCaps/>
                <w:sz w:val="16"/>
              </w:rPr>
              <w:t>ACTION TO BE CONSIDERED</w:t>
            </w:r>
          </w:p>
        </w:tc>
        <w:tc>
          <w:tcPr>
            <w:tcW w:w="450" w:type="dxa"/>
            <w:tcBorders>
              <w:top w:val="single" w:sz="6" w:space="0" w:color="auto"/>
              <w:left w:val="single" w:sz="6" w:space="0" w:color="auto"/>
              <w:bottom w:val="single" w:sz="6" w:space="0" w:color="auto"/>
            </w:tcBorders>
          </w:tcPr>
          <w:p w14:paraId="54390237" w14:textId="77777777" w:rsidR="004B27F4" w:rsidRDefault="004B27F4">
            <w:pPr>
              <w:pStyle w:val="unformattedtext"/>
              <w:spacing w:before="30" w:after="0"/>
              <w:jc w:val="center"/>
              <w:rPr>
                <w:rFonts w:ascii="Arial" w:hAnsi="Arial"/>
                <w:smallCaps/>
                <w:sz w:val="16"/>
              </w:rPr>
            </w:pPr>
          </w:p>
          <w:p w14:paraId="2A16CD1A" w14:textId="77777777" w:rsidR="004B27F4" w:rsidRDefault="004B27F4">
            <w:pPr>
              <w:pStyle w:val="unformattedtext"/>
              <w:spacing w:before="30" w:after="0"/>
              <w:jc w:val="center"/>
              <w:rPr>
                <w:rFonts w:ascii="Arial" w:hAnsi="Arial"/>
                <w:smallCaps/>
                <w:sz w:val="16"/>
              </w:rPr>
            </w:pPr>
            <w:r>
              <w:rPr>
                <w:rFonts w:ascii="Arial" w:hAnsi="Arial"/>
                <w:smallCaps/>
                <w:sz w:val="16"/>
              </w:rPr>
              <w:t>NA</w:t>
            </w:r>
          </w:p>
        </w:tc>
        <w:tc>
          <w:tcPr>
            <w:tcW w:w="450" w:type="dxa"/>
            <w:tcBorders>
              <w:top w:val="single" w:sz="6" w:space="0" w:color="auto"/>
              <w:left w:val="single" w:sz="6" w:space="0" w:color="auto"/>
              <w:bottom w:val="single" w:sz="6" w:space="0" w:color="auto"/>
            </w:tcBorders>
          </w:tcPr>
          <w:p w14:paraId="47C71F1C" w14:textId="77777777" w:rsidR="004B27F4" w:rsidRDefault="004B27F4">
            <w:pPr>
              <w:pStyle w:val="unformattedtext"/>
              <w:spacing w:before="30" w:after="0"/>
              <w:jc w:val="center"/>
              <w:rPr>
                <w:rFonts w:ascii="Arial" w:hAnsi="Arial"/>
                <w:smallCaps/>
                <w:sz w:val="16"/>
              </w:rPr>
            </w:pPr>
          </w:p>
          <w:p w14:paraId="3D0145A5" w14:textId="77777777" w:rsidR="004B27F4" w:rsidRDefault="004B27F4">
            <w:pPr>
              <w:pStyle w:val="unformattedtext"/>
              <w:spacing w:before="30" w:after="0"/>
              <w:jc w:val="center"/>
              <w:rPr>
                <w:rFonts w:ascii="Arial" w:hAnsi="Arial"/>
                <w:smallCaps/>
                <w:sz w:val="16"/>
              </w:rPr>
            </w:pPr>
            <w:r>
              <w:rPr>
                <w:rFonts w:ascii="Arial" w:hAnsi="Arial"/>
                <w:smallCaps/>
                <w:sz w:val="16"/>
              </w:rPr>
              <w:t>L</w:t>
            </w:r>
          </w:p>
        </w:tc>
        <w:tc>
          <w:tcPr>
            <w:tcW w:w="450" w:type="dxa"/>
            <w:tcBorders>
              <w:top w:val="single" w:sz="6" w:space="0" w:color="auto"/>
              <w:left w:val="single" w:sz="6" w:space="0" w:color="auto"/>
              <w:bottom w:val="single" w:sz="6" w:space="0" w:color="auto"/>
            </w:tcBorders>
          </w:tcPr>
          <w:p w14:paraId="74D9A7ED" w14:textId="77777777" w:rsidR="004B27F4" w:rsidRDefault="004B27F4">
            <w:pPr>
              <w:pStyle w:val="unformattedtext"/>
              <w:spacing w:before="30" w:after="0"/>
              <w:jc w:val="center"/>
              <w:rPr>
                <w:rFonts w:ascii="Arial" w:hAnsi="Arial"/>
                <w:smallCaps/>
                <w:sz w:val="16"/>
              </w:rPr>
            </w:pPr>
          </w:p>
          <w:p w14:paraId="5D0C18E5" w14:textId="77777777" w:rsidR="004B27F4" w:rsidRDefault="004B27F4">
            <w:pPr>
              <w:pStyle w:val="unformattedtext"/>
              <w:spacing w:before="30" w:after="0"/>
              <w:jc w:val="center"/>
              <w:rPr>
                <w:rFonts w:ascii="Arial" w:hAnsi="Arial"/>
                <w:smallCaps/>
                <w:sz w:val="16"/>
              </w:rPr>
            </w:pPr>
            <w:r>
              <w:rPr>
                <w:rFonts w:ascii="Arial" w:hAnsi="Arial"/>
                <w:smallCaps/>
                <w:sz w:val="16"/>
              </w:rPr>
              <w:t>LA</w:t>
            </w:r>
          </w:p>
        </w:tc>
        <w:tc>
          <w:tcPr>
            <w:tcW w:w="1001" w:type="dxa"/>
            <w:tcBorders>
              <w:top w:val="single" w:sz="6" w:space="0" w:color="auto"/>
              <w:left w:val="single" w:sz="6" w:space="0" w:color="auto"/>
              <w:bottom w:val="single" w:sz="6" w:space="0" w:color="auto"/>
            </w:tcBorders>
          </w:tcPr>
          <w:p w14:paraId="3423F550" w14:textId="77777777" w:rsidR="004B27F4" w:rsidRDefault="004B27F4">
            <w:pPr>
              <w:pStyle w:val="unformattedtext"/>
              <w:spacing w:before="60"/>
              <w:jc w:val="center"/>
              <w:rPr>
                <w:rFonts w:ascii="Arial" w:hAnsi="Arial"/>
                <w:smallCaps/>
                <w:sz w:val="16"/>
              </w:rPr>
            </w:pPr>
            <w:r>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6286DC05" w14:textId="77777777" w:rsidR="004B27F4" w:rsidRDefault="004B27F4">
            <w:pPr>
              <w:pStyle w:val="unformattedtext"/>
              <w:spacing w:before="60"/>
              <w:jc w:val="center"/>
              <w:rPr>
                <w:rFonts w:ascii="Arial" w:hAnsi="Arial"/>
                <w:smallCaps/>
                <w:sz w:val="16"/>
              </w:rPr>
            </w:pPr>
            <w:r>
              <w:rPr>
                <w:rFonts w:ascii="Arial" w:hAnsi="Arial"/>
                <w:smallCaps/>
                <w:sz w:val="16"/>
              </w:rPr>
              <w:t>DATE DONE</w:t>
            </w:r>
          </w:p>
        </w:tc>
      </w:tr>
      <w:tr w:rsidR="004B27F4" w14:paraId="6F47D394" w14:textId="77777777">
        <w:trPr>
          <w:cantSplit/>
          <w:tblHeader/>
        </w:trPr>
        <w:tc>
          <w:tcPr>
            <w:tcW w:w="6948" w:type="dxa"/>
            <w:tcBorders>
              <w:top w:val="nil"/>
            </w:tcBorders>
          </w:tcPr>
          <w:p w14:paraId="08935C3C" w14:textId="77777777" w:rsidR="004B27F4" w:rsidRDefault="004B27F4" w:rsidP="008B4383">
            <w:pPr>
              <w:pStyle w:val="centre"/>
              <w:keepNext w:val="0"/>
              <w:keepLines w:val="0"/>
              <w:spacing w:before="0" w:after="0"/>
              <w:rPr>
                <w:b w:val="0"/>
                <w:sz w:val="10"/>
              </w:rPr>
            </w:pPr>
          </w:p>
        </w:tc>
        <w:tc>
          <w:tcPr>
            <w:tcW w:w="450" w:type="dxa"/>
            <w:tcBorders>
              <w:top w:val="nil"/>
              <w:left w:val="single" w:sz="6" w:space="0" w:color="auto"/>
            </w:tcBorders>
          </w:tcPr>
          <w:p w14:paraId="18462644" w14:textId="77777777" w:rsidR="004B27F4" w:rsidRDefault="004B27F4">
            <w:pPr>
              <w:pStyle w:val="unformattedtext"/>
              <w:spacing w:after="0"/>
              <w:jc w:val="center"/>
              <w:rPr>
                <w:rFonts w:ascii="Arial" w:hAnsi="Arial"/>
                <w:sz w:val="16"/>
              </w:rPr>
            </w:pPr>
          </w:p>
        </w:tc>
        <w:tc>
          <w:tcPr>
            <w:tcW w:w="450" w:type="dxa"/>
            <w:tcBorders>
              <w:top w:val="nil"/>
              <w:left w:val="single" w:sz="6" w:space="0" w:color="auto"/>
            </w:tcBorders>
          </w:tcPr>
          <w:p w14:paraId="5636C895" w14:textId="77777777" w:rsidR="004B27F4" w:rsidRDefault="004B27F4">
            <w:pPr>
              <w:pStyle w:val="unformattedtext"/>
              <w:spacing w:after="0"/>
              <w:jc w:val="center"/>
              <w:rPr>
                <w:rFonts w:ascii="Arial" w:hAnsi="Arial"/>
                <w:sz w:val="16"/>
              </w:rPr>
            </w:pPr>
          </w:p>
        </w:tc>
        <w:tc>
          <w:tcPr>
            <w:tcW w:w="450" w:type="dxa"/>
            <w:tcBorders>
              <w:top w:val="nil"/>
              <w:left w:val="single" w:sz="6" w:space="0" w:color="auto"/>
            </w:tcBorders>
          </w:tcPr>
          <w:p w14:paraId="0EB9D9B8" w14:textId="77777777" w:rsidR="004B27F4" w:rsidRDefault="004B27F4">
            <w:pPr>
              <w:pStyle w:val="unformattedtext"/>
              <w:spacing w:after="0"/>
              <w:jc w:val="center"/>
              <w:rPr>
                <w:rFonts w:ascii="Arial" w:hAnsi="Arial"/>
                <w:sz w:val="16"/>
              </w:rPr>
            </w:pPr>
          </w:p>
        </w:tc>
        <w:tc>
          <w:tcPr>
            <w:tcW w:w="1001" w:type="dxa"/>
            <w:tcBorders>
              <w:top w:val="nil"/>
              <w:left w:val="single" w:sz="6" w:space="0" w:color="auto"/>
            </w:tcBorders>
          </w:tcPr>
          <w:p w14:paraId="0AE2164E" w14:textId="77777777" w:rsidR="004B27F4" w:rsidRDefault="004B27F4">
            <w:pPr>
              <w:pStyle w:val="unformattedtext"/>
              <w:spacing w:after="0"/>
              <w:jc w:val="center"/>
              <w:rPr>
                <w:rFonts w:ascii="Arial" w:hAnsi="Arial"/>
                <w:sz w:val="16"/>
              </w:rPr>
            </w:pPr>
          </w:p>
        </w:tc>
        <w:tc>
          <w:tcPr>
            <w:tcW w:w="1001" w:type="dxa"/>
            <w:tcBorders>
              <w:top w:val="nil"/>
              <w:left w:val="single" w:sz="6" w:space="0" w:color="auto"/>
            </w:tcBorders>
          </w:tcPr>
          <w:p w14:paraId="1E7E5321" w14:textId="77777777" w:rsidR="004B27F4" w:rsidRDefault="004B27F4">
            <w:pPr>
              <w:pStyle w:val="unformattedtext"/>
              <w:spacing w:after="0"/>
              <w:jc w:val="center"/>
              <w:rPr>
                <w:rFonts w:ascii="Arial" w:hAnsi="Arial"/>
                <w:sz w:val="16"/>
              </w:rPr>
            </w:pPr>
          </w:p>
        </w:tc>
      </w:tr>
      <w:tr w:rsidR="004B27F4" w:rsidRPr="00CA6574" w14:paraId="7727F875" w14:textId="77777777" w:rsidTr="00AC72D4">
        <w:trPr>
          <w:trHeight w:val="1881"/>
        </w:trPr>
        <w:tc>
          <w:tcPr>
            <w:tcW w:w="6948" w:type="dxa"/>
          </w:tcPr>
          <w:p w14:paraId="318CD69E" w14:textId="77777777" w:rsidR="004B27F4" w:rsidRPr="00CA6574" w:rsidRDefault="004B27F4" w:rsidP="00234BE8">
            <w:pPr>
              <w:pStyle w:val="centre"/>
              <w:keepNext w:val="0"/>
              <w:keepLines w:val="0"/>
              <w:widowControl w:val="0"/>
            </w:pPr>
            <w:r w:rsidRPr="00CA6574">
              <w:t>INTRODUCTION</w:t>
            </w:r>
          </w:p>
          <w:p w14:paraId="03123D00" w14:textId="1ED0E3CB" w:rsidR="00053075" w:rsidRPr="00CA6574" w:rsidRDefault="004B27F4" w:rsidP="00D84977">
            <w:pPr>
              <w:pStyle w:val="NormalparagraphGN"/>
              <w:widowControl w:val="0"/>
            </w:pPr>
            <w:r w:rsidRPr="00CA6574">
              <w:rPr>
                <w:b/>
                <w:bCs/>
              </w:rPr>
              <w:t xml:space="preserve">Purpose and currency of checklist. </w:t>
            </w:r>
            <w:r w:rsidR="00DA340C" w:rsidRPr="00CA6574">
              <w:rPr>
                <w:bCs/>
              </w:rPr>
              <w:t xml:space="preserve">This checklist is designed to be used with the </w:t>
            </w:r>
            <w:r w:rsidR="00DA340C" w:rsidRPr="00CA6574">
              <w:rPr>
                <w:bCs/>
                <w:smallCaps/>
              </w:rPr>
              <w:t>client identification</w:t>
            </w:r>
            <w:r w:rsidR="004E63E9" w:rsidRPr="004E63E9">
              <w:rPr>
                <w:bCs/>
                <w:smallCaps/>
              </w:rPr>
              <w:t xml:space="preserve">, </w:t>
            </w:r>
            <w:r w:rsidR="004E63E9">
              <w:rPr>
                <w:bCs/>
                <w:smallCaps/>
              </w:rPr>
              <w:t>v</w:t>
            </w:r>
            <w:r w:rsidR="004E63E9" w:rsidRPr="004E63E9">
              <w:rPr>
                <w:bCs/>
                <w:smallCaps/>
              </w:rPr>
              <w:t xml:space="preserve">erification, and </w:t>
            </w:r>
            <w:r w:rsidR="004E63E9">
              <w:rPr>
                <w:bCs/>
                <w:smallCaps/>
              </w:rPr>
              <w:t>s</w:t>
            </w:r>
            <w:r w:rsidR="004E63E9" w:rsidRPr="004E63E9">
              <w:rPr>
                <w:bCs/>
                <w:smallCaps/>
              </w:rPr>
              <w:t xml:space="preserve">ource of </w:t>
            </w:r>
            <w:r w:rsidR="004E63E9">
              <w:rPr>
                <w:bCs/>
                <w:smallCaps/>
              </w:rPr>
              <w:t>m</w:t>
            </w:r>
            <w:r w:rsidR="004E63E9" w:rsidRPr="004E63E9">
              <w:rPr>
                <w:bCs/>
                <w:smallCaps/>
              </w:rPr>
              <w:t>oney</w:t>
            </w:r>
            <w:r w:rsidR="00DA340C" w:rsidRPr="00CA6574">
              <w:rPr>
                <w:bCs/>
                <w:smallCaps/>
              </w:rPr>
              <w:t xml:space="preserve"> </w:t>
            </w:r>
            <w:r w:rsidR="00DA340C" w:rsidRPr="00CA6574">
              <w:rPr>
                <w:bCs/>
              </w:rPr>
              <w:t>(A</w:t>
            </w:r>
            <w:r w:rsidR="00053075" w:rsidRPr="00CA6574">
              <w:rPr>
                <w:bCs/>
              </w:rPr>
              <w:t>-</w:t>
            </w:r>
            <w:r w:rsidR="00DA340C" w:rsidRPr="00CA6574">
              <w:rPr>
                <w:bCs/>
              </w:rPr>
              <w:t>1)</w:t>
            </w:r>
            <w:r w:rsidR="00352F9D">
              <w:rPr>
                <w:bCs/>
              </w:rPr>
              <w:t xml:space="preserve">, </w:t>
            </w:r>
            <w:r w:rsidR="00B80330">
              <w:rPr>
                <w:bCs/>
                <w:smallCaps/>
              </w:rPr>
              <w:t xml:space="preserve">client </w:t>
            </w:r>
            <w:r w:rsidR="00B80330" w:rsidRPr="00944672">
              <w:rPr>
                <w:smallCaps/>
              </w:rPr>
              <w:t xml:space="preserve">file opening </w:t>
            </w:r>
            <w:r w:rsidR="00B80330">
              <w:rPr>
                <w:smallCaps/>
              </w:rPr>
              <w:t>and</w:t>
            </w:r>
            <w:r w:rsidR="00B80330" w:rsidRPr="00944672">
              <w:rPr>
                <w:smallCaps/>
              </w:rPr>
              <w:t xml:space="preserve"> closing</w:t>
            </w:r>
            <w:r w:rsidR="00B80330" w:rsidDel="00D74CE0">
              <w:rPr>
                <w:bCs/>
              </w:rPr>
              <w:t xml:space="preserve"> </w:t>
            </w:r>
            <w:r w:rsidR="00352F9D">
              <w:rPr>
                <w:bCs/>
              </w:rPr>
              <w:t>(A-2),</w:t>
            </w:r>
            <w:r w:rsidR="00DA340C" w:rsidRPr="00CA6574">
              <w:rPr>
                <w:bCs/>
              </w:rPr>
              <w:t xml:space="preserve"> and</w:t>
            </w:r>
            <w:r w:rsidRPr="00CA6574">
              <w:t xml:space="preserve"> </w:t>
            </w:r>
            <w:r w:rsidRPr="00CA6574">
              <w:rPr>
                <w:smallCaps/>
              </w:rPr>
              <w:t>share purchase agreement</w:t>
            </w:r>
            <w:r w:rsidRPr="00CA6574">
              <w:t xml:space="preserve"> </w:t>
            </w:r>
            <w:r w:rsidRPr="00CA6574">
              <w:rPr>
                <w:smallCaps/>
              </w:rPr>
              <w:t>drafting</w:t>
            </w:r>
            <w:r w:rsidRPr="00CA6574">
              <w:t xml:space="preserve"> </w:t>
            </w:r>
            <w:r w:rsidR="00DA340C" w:rsidRPr="00CA6574">
              <w:t>(B</w:t>
            </w:r>
            <w:r w:rsidR="00053075" w:rsidRPr="00CA6574">
              <w:t>-</w:t>
            </w:r>
            <w:r w:rsidR="00DA340C" w:rsidRPr="00CA6574">
              <w:t xml:space="preserve">4) </w:t>
            </w:r>
            <w:r w:rsidRPr="00CA6574">
              <w:t>checklist</w:t>
            </w:r>
            <w:r w:rsidR="00DA340C" w:rsidRPr="00CA6574">
              <w:t>s</w:t>
            </w:r>
            <w:r w:rsidRPr="00CA6574">
              <w:t xml:space="preserve">. It is primarily intended for use by the purchaser’s </w:t>
            </w:r>
            <w:r w:rsidR="00DD6A41" w:rsidRPr="00CA6574">
              <w:t>lawyer</w:t>
            </w:r>
            <w:r w:rsidRPr="00CA6574">
              <w:t xml:space="preserve">, but may </w:t>
            </w:r>
            <w:r w:rsidR="005B4780">
              <w:t xml:space="preserve">also </w:t>
            </w:r>
            <w:r w:rsidRPr="00CA6574">
              <w:t xml:space="preserve">serve as a guide </w:t>
            </w:r>
            <w:r w:rsidR="000A76C7" w:rsidRPr="00CA6574">
              <w:t>for</w:t>
            </w:r>
            <w:r w:rsidRPr="00CA6574">
              <w:t xml:space="preserve"> the vendor’s </w:t>
            </w:r>
            <w:r w:rsidR="00DD6A41" w:rsidRPr="00CA6574">
              <w:t>lawyer</w:t>
            </w:r>
            <w:r w:rsidRPr="00CA6574">
              <w:t>. The checklist is also primarily intended for use in the acquisition of shares in a British Columbia company that is not a reporting company. Th</w:t>
            </w:r>
            <w:r w:rsidR="000B331E" w:rsidRPr="00CA6574">
              <w:t>is</w:t>
            </w:r>
            <w:r w:rsidRPr="00CA6574">
              <w:t xml:space="preserve"> checklist is current to</w:t>
            </w:r>
            <w:r w:rsidR="00C12388" w:rsidRPr="00CA6574">
              <w:t xml:space="preserve"> </w:t>
            </w:r>
            <w:r w:rsidR="000A76C7" w:rsidRPr="00CA6574">
              <w:t xml:space="preserve">September 1, </w:t>
            </w:r>
            <w:r w:rsidR="008F492B" w:rsidRPr="00CA6574">
              <w:t>20</w:t>
            </w:r>
            <w:r w:rsidR="004004A5">
              <w:t>2</w:t>
            </w:r>
            <w:r w:rsidR="00167156">
              <w:t>3</w:t>
            </w:r>
            <w:r w:rsidR="002D2704" w:rsidRPr="00CA6574">
              <w:t>.</w:t>
            </w:r>
          </w:p>
        </w:tc>
        <w:tc>
          <w:tcPr>
            <w:tcW w:w="450" w:type="dxa"/>
            <w:tcBorders>
              <w:left w:val="single" w:sz="6" w:space="0" w:color="auto"/>
            </w:tcBorders>
          </w:tcPr>
          <w:p w14:paraId="6DBAD50E" w14:textId="77777777" w:rsidR="004B27F4" w:rsidRPr="00CA6574" w:rsidRDefault="004B27F4">
            <w:pPr>
              <w:pStyle w:val="unformattedtext"/>
              <w:spacing w:before="60"/>
              <w:jc w:val="center"/>
            </w:pPr>
          </w:p>
        </w:tc>
        <w:tc>
          <w:tcPr>
            <w:tcW w:w="450" w:type="dxa"/>
            <w:tcBorders>
              <w:left w:val="single" w:sz="6" w:space="0" w:color="auto"/>
            </w:tcBorders>
          </w:tcPr>
          <w:p w14:paraId="338C72CD" w14:textId="77777777" w:rsidR="004B27F4" w:rsidRPr="00CA6574" w:rsidRDefault="004B27F4">
            <w:pPr>
              <w:pStyle w:val="unformattedtext"/>
              <w:spacing w:before="60"/>
              <w:jc w:val="center"/>
            </w:pPr>
          </w:p>
        </w:tc>
        <w:tc>
          <w:tcPr>
            <w:tcW w:w="450" w:type="dxa"/>
            <w:tcBorders>
              <w:left w:val="single" w:sz="6" w:space="0" w:color="auto"/>
            </w:tcBorders>
          </w:tcPr>
          <w:p w14:paraId="2E1CDE7E" w14:textId="77777777" w:rsidR="004B27F4" w:rsidRPr="00CA6574" w:rsidRDefault="004B27F4">
            <w:pPr>
              <w:pStyle w:val="unformattedtext"/>
              <w:spacing w:before="60"/>
              <w:jc w:val="center"/>
            </w:pPr>
          </w:p>
        </w:tc>
        <w:tc>
          <w:tcPr>
            <w:tcW w:w="1001" w:type="dxa"/>
            <w:tcBorders>
              <w:left w:val="single" w:sz="6" w:space="0" w:color="auto"/>
            </w:tcBorders>
          </w:tcPr>
          <w:p w14:paraId="24904E35" w14:textId="77777777" w:rsidR="004B27F4" w:rsidRPr="00CA6574" w:rsidRDefault="004B27F4">
            <w:pPr>
              <w:pStyle w:val="unformattedtext"/>
              <w:spacing w:before="60"/>
              <w:jc w:val="center"/>
            </w:pPr>
          </w:p>
        </w:tc>
        <w:tc>
          <w:tcPr>
            <w:tcW w:w="1001" w:type="dxa"/>
            <w:tcBorders>
              <w:left w:val="single" w:sz="6" w:space="0" w:color="auto"/>
            </w:tcBorders>
          </w:tcPr>
          <w:p w14:paraId="4F151734" w14:textId="77777777" w:rsidR="004B27F4" w:rsidRPr="00CA6574" w:rsidRDefault="004B27F4">
            <w:pPr>
              <w:pStyle w:val="unformattedtext"/>
              <w:spacing w:before="60"/>
              <w:jc w:val="center"/>
            </w:pPr>
          </w:p>
        </w:tc>
      </w:tr>
      <w:tr w:rsidR="00B907EB" w:rsidRPr="00CA6574" w14:paraId="20189A30" w14:textId="77777777" w:rsidTr="00EA7D8E">
        <w:trPr>
          <w:cantSplit/>
          <w:trHeight w:val="8901"/>
        </w:trPr>
        <w:tc>
          <w:tcPr>
            <w:tcW w:w="6948" w:type="dxa"/>
          </w:tcPr>
          <w:p w14:paraId="23A65977" w14:textId="67F09E82" w:rsidR="00B907EB" w:rsidRDefault="00B907EB" w:rsidP="00B907EB">
            <w:pPr>
              <w:pStyle w:val="NormalparagraphGN"/>
              <w:widowControl w:val="0"/>
              <w:spacing w:before="120"/>
              <w:rPr>
                <w:b/>
                <w:bCs/>
              </w:rPr>
            </w:pPr>
            <w:r w:rsidRPr="00B47038">
              <w:rPr>
                <w:b/>
                <w:bCs/>
              </w:rPr>
              <w:t>New developments:</w:t>
            </w:r>
          </w:p>
          <w:p w14:paraId="06765073" w14:textId="7F828CB3" w:rsidR="001C5873" w:rsidRPr="001C5873" w:rsidRDefault="001C5873" w:rsidP="001C5873">
            <w:pPr>
              <w:pStyle w:val="NormalparagraphGN"/>
              <w:numPr>
                <w:ilvl w:val="0"/>
                <w:numId w:val="23"/>
              </w:numPr>
              <w:rPr>
                <w:b/>
              </w:rPr>
            </w:pPr>
            <w:r w:rsidRPr="001C5873">
              <w:rPr>
                <w:b/>
              </w:rPr>
              <w:t xml:space="preserve">Enhanced </w:t>
            </w:r>
            <w:r w:rsidRPr="009624D6">
              <w:rPr>
                <w:b/>
              </w:rPr>
              <w:t>s</w:t>
            </w:r>
            <w:r w:rsidRPr="001C5873">
              <w:rPr>
                <w:b/>
              </w:rPr>
              <w:t xml:space="preserve">crutiny under the </w:t>
            </w:r>
            <w:r w:rsidRPr="001C5873">
              <w:rPr>
                <w:b/>
                <w:i/>
              </w:rPr>
              <w:t>Investment Canada Act</w:t>
            </w:r>
            <w:r w:rsidRPr="003D7E26">
              <w:rPr>
                <w:rStyle w:val="Italics"/>
                <w:rFonts w:ascii="Times New Roman" w:hAnsi="Times New Roman"/>
                <w:b/>
                <w:i w:val="0"/>
              </w:rPr>
              <w:t>, R.S.C. 1985, c. 28 (1st Supp.)</w:t>
            </w:r>
            <w:r w:rsidRPr="001C5873">
              <w:rPr>
                <w:b/>
              </w:rPr>
              <w:t xml:space="preserve">. </w:t>
            </w:r>
            <w:r w:rsidRPr="001C5873">
              <w:t xml:space="preserve">On April 18, 2020, in response to COVID-19, the Minister of Innovation, Science and Industry (the “Minister”) announced a new policy under which the Government of Canada will subject certain foreign investments to additional scrutiny. The policy targets foreign investments in Canadian businesses that are related to public health or involved in the supply of critical goods and services. On October 28, 2022, the Minister announced strategic policy surrounding foreign direct investment in Canadian Critical Mineral sectors in response to the Critical Minerals List announced on March 11, 2021. Under the </w:t>
            </w:r>
            <w:r w:rsidRPr="001C5873">
              <w:rPr>
                <w:i/>
              </w:rPr>
              <w:t>Investment Canada Act</w:t>
            </w:r>
            <w:r w:rsidRPr="001C5873">
              <w:t xml:space="preserve">, the Minister must approve proposed acquisitions of control from foreign investors, including state-owned entities, where the value of the Canadian business is above the defined threshold. An application by a foreign state-owned entity will only be approved on an exceptional basis. Furthermore, effective August 2, 2022, a new filing option gives non-Canadian investors the ability to obtain pre-implementation regulatory certainty with respect to a national security review of investments that do not require a filing under the </w:t>
            </w:r>
            <w:r w:rsidR="00F128E5">
              <w:t>Act</w:t>
            </w:r>
            <w:r w:rsidRPr="001C5873">
              <w:t xml:space="preserve">. See the </w:t>
            </w:r>
            <w:hyperlink r:id="rId9" w:history="1">
              <w:r w:rsidRPr="001C5873">
                <w:rPr>
                  <w:rStyle w:val="Hyperlink"/>
                </w:rPr>
                <w:t>full policy statement and voluntary filing information</w:t>
              </w:r>
            </w:hyperlink>
            <w:r w:rsidRPr="001C5873">
              <w:t xml:space="preserve">. </w:t>
            </w:r>
          </w:p>
          <w:p w14:paraId="0C98EC36" w14:textId="2768B912" w:rsidR="00837850" w:rsidRPr="00837850" w:rsidRDefault="00837850" w:rsidP="00837850">
            <w:pPr>
              <w:pStyle w:val="NormalparagraphGN"/>
              <w:numPr>
                <w:ilvl w:val="0"/>
                <w:numId w:val="23"/>
              </w:numPr>
            </w:pPr>
            <w:r w:rsidRPr="00837850">
              <w:rPr>
                <w:b/>
              </w:rPr>
              <w:t>Electronic meetings.</w:t>
            </w:r>
            <w:r w:rsidRPr="00F005BB">
              <w:t xml:space="preserve"> On May 20, 2021, the majority of the provisions of the </w:t>
            </w:r>
            <w:r w:rsidRPr="00837850">
              <w:rPr>
                <w:i/>
              </w:rPr>
              <w:t>Finance Statutes Amendment Act (No. 2), 2021</w:t>
            </w:r>
            <w:r w:rsidRPr="00F005BB">
              <w:t xml:space="preserve">, S.B.C. 2021, c. 14 came into effect by royal assent. The Act amends the </w:t>
            </w:r>
            <w:r w:rsidRPr="003D2B47">
              <w:rPr>
                <w:rStyle w:val="AltI1Italic11pt"/>
              </w:rPr>
              <w:t>Business Corporations Act</w:t>
            </w:r>
            <w:r w:rsidRPr="003D2B47">
              <w:t>,</w:t>
            </w:r>
            <w:r w:rsidRPr="00B9605D">
              <w:t xml:space="preserve"> S.B.C. 2002, c.</w:t>
            </w:r>
            <w:r>
              <w:t xml:space="preserve"> </w:t>
            </w:r>
            <w:r w:rsidRPr="00B9605D">
              <w:t>57</w:t>
            </w:r>
            <w:r w:rsidR="00267EB4">
              <w:t xml:space="preserve"> (the “</w:t>
            </w:r>
            <w:r w:rsidR="00267EB4" w:rsidRPr="00267EB4">
              <w:rPr>
                <w:i/>
              </w:rPr>
              <w:t>BCA</w:t>
            </w:r>
            <w:r w:rsidR="00267EB4">
              <w:t>”)</w:t>
            </w:r>
            <w:r w:rsidR="001C5873">
              <w:t>,</w:t>
            </w:r>
            <w:r w:rsidRPr="00F005BB">
              <w:t xml:space="preserve"> as well as the </w:t>
            </w:r>
            <w:r w:rsidRPr="00837850">
              <w:rPr>
                <w:i/>
              </w:rPr>
              <w:t>Cooperative Association Act</w:t>
            </w:r>
            <w:r w:rsidRPr="00F005BB">
              <w:t xml:space="preserve">, S.B.C. 1999, c. 28; </w:t>
            </w:r>
            <w:r w:rsidRPr="00837850">
              <w:rPr>
                <w:i/>
              </w:rPr>
              <w:t>Financial Institutions Act</w:t>
            </w:r>
            <w:r w:rsidRPr="00F005BB">
              <w:t xml:space="preserve">, R.S.B.C. 1996, c. 141; and </w:t>
            </w:r>
            <w:r w:rsidRPr="00837850">
              <w:rPr>
                <w:i/>
              </w:rPr>
              <w:t>Societies Act</w:t>
            </w:r>
            <w:r w:rsidRPr="00F005BB">
              <w:t>, S.B.C. 2015, c. 18 to expressly permit virtual AGMs and board meetings. The legislation now provides that, unless the memorandum or articles provide otherwise, a company may hold its AGM by telephone or other communications medium if all shareholders and proxy holders attending the meeting are “able to participate in it”. This replaces the previous requirement that shareholders and proxy holders be “able to communicate with each other”. The rules further provide that if a company holds a meeting of shareholders that is an electronic meeting, the company must “permit and facilitate participation in the meeting”. Companies should consider whether they may want to require in-person meetings (which will now require an explicit restriction on holding an AGM by telephone or other communications medium in the company’s articles).</w:t>
            </w:r>
          </w:p>
          <w:p w14:paraId="314F6EE3" w14:textId="32FFEA84" w:rsidR="00837850" w:rsidRPr="006740BB" w:rsidRDefault="00837850" w:rsidP="00EA7D8E">
            <w:pPr>
              <w:pStyle w:val="NormalparagraphGN"/>
              <w:numPr>
                <w:ilvl w:val="0"/>
                <w:numId w:val="23"/>
              </w:numPr>
            </w:pPr>
            <w:r w:rsidRPr="00A328D8">
              <w:rPr>
                <w:b/>
                <w:i/>
              </w:rPr>
              <w:t>Arbitration Act</w:t>
            </w:r>
            <w:r w:rsidRPr="00F0648C">
              <w:rPr>
                <w:b/>
              </w:rPr>
              <w:t>.</w:t>
            </w:r>
            <w:r w:rsidRPr="00A41D0E">
              <w:t xml:space="preserve"> The </w:t>
            </w:r>
            <w:r w:rsidRPr="00F0648C">
              <w:rPr>
                <w:i/>
              </w:rPr>
              <w:t>Arbitration Act</w:t>
            </w:r>
            <w:r w:rsidRPr="00A41D0E">
              <w:t>, S.B.C. 2020, c. 2, came into force on September 1, 2020. It is strongly recommended that practitioners review the new legislation prior to drafting or revising arbitration clauses in agreements.</w:t>
            </w:r>
          </w:p>
        </w:tc>
        <w:tc>
          <w:tcPr>
            <w:tcW w:w="450" w:type="dxa"/>
            <w:tcBorders>
              <w:left w:val="single" w:sz="6" w:space="0" w:color="auto"/>
            </w:tcBorders>
          </w:tcPr>
          <w:p w14:paraId="16E04662" w14:textId="77777777" w:rsidR="00B907EB" w:rsidRPr="00CA6574" w:rsidRDefault="00B907EB">
            <w:pPr>
              <w:pStyle w:val="unformattedtext"/>
              <w:spacing w:before="60"/>
              <w:jc w:val="center"/>
            </w:pPr>
          </w:p>
        </w:tc>
        <w:tc>
          <w:tcPr>
            <w:tcW w:w="450" w:type="dxa"/>
            <w:tcBorders>
              <w:left w:val="single" w:sz="6" w:space="0" w:color="auto"/>
            </w:tcBorders>
          </w:tcPr>
          <w:p w14:paraId="34F8CE75" w14:textId="77777777" w:rsidR="00B907EB" w:rsidRPr="00CA6574" w:rsidRDefault="00B907EB">
            <w:pPr>
              <w:pStyle w:val="unformattedtext"/>
              <w:spacing w:before="60"/>
              <w:jc w:val="center"/>
            </w:pPr>
          </w:p>
        </w:tc>
        <w:tc>
          <w:tcPr>
            <w:tcW w:w="450" w:type="dxa"/>
            <w:tcBorders>
              <w:left w:val="single" w:sz="6" w:space="0" w:color="auto"/>
            </w:tcBorders>
          </w:tcPr>
          <w:p w14:paraId="48152277" w14:textId="77777777" w:rsidR="00B907EB" w:rsidRPr="00CA6574" w:rsidRDefault="00B907EB">
            <w:pPr>
              <w:pStyle w:val="unformattedtext"/>
              <w:spacing w:before="60"/>
              <w:jc w:val="center"/>
            </w:pPr>
          </w:p>
        </w:tc>
        <w:tc>
          <w:tcPr>
            <w:tcW w:w="1001" w:type="dxa"/>
            <w:tcBorders>
              <w:left w:val="single" w:sz="6" w:space="0" w:color="auto"/>
            </w:tcBorders>
          </w:tcPr>
          <w:p w14:paraId="6DD7FF67" w14:textId="77777777" w:rsidR="00B907EB" w:rsidRPr="00CA6574" w:rsidRDefault="00B907EB">
            <w:pPr>
              <w:pStyle w:val="unformattedtext"/>
              <w:spacing w:before="60"/>
              <w:jc w:val="center"/>
            </w:pPr>
          </w:p>
        </w:tc>
        <w:tc>
          <w:tcPr>
            <w:tcW w:w="1001" w:type="dxa"/>
            <w:tcBorders>
              <w:left w:val="single" w:sz="6" w:space="0" w:color="auto"/>
            </w:tcBorders>
          </w:tcPr>
          <w:p w14:paraId="126DF9E6" w14:textId="77777777" w:rsidR="00B907EB" w:rsidRPr="00CA6574" w:rsidRDefault="00B907EB">
            <w:pPr>
              <w:pStyle w:val="unformattedtext"/>
              <w:spacing w:before="60"/>
              <w:jc w:val="center"/>
            </w:pPr>
          </w:p>
        </w:tc>
      </w:tr>
      <w:tr w:rsidR="00EA7D8E" w:rsidRPr="00CA6574" w14:paraId="0FB7EA6C" w14:textId="77777777" w:rsidTr="00EA7D8E">
        <w:trPr>
          <w:cantSplit/>
          <w:trHeight w:val="1773"/>
        </w:trPr>
        <w:tc>
          <w:tcPr>
            <w:tcW w:w="6948" w:type="dxa"/>
          </w:tcPr>
          <w:p w14:paraId="245B2A95" w14:textId="77F15783" w:rsidR="00EA7D8E" w:rsidRPr="00295927" w:rsidRDefault="00EA7D8E" w:rsidP="00837850">
            <w:pPr>
              <w:pStyle w:val="NormalparagraphGN"/>
              <w:numPr>
                <w:ilvl w:val="0"/>
                <w:numId w:val="23"/>
              </w:numPr>
              <w:rPr>
                <w:b/>
                <w:i/>
              </w:rPr>
            </w:pPr>
            <w:r w:rsidRPr="00295927">
              <w:rPr>
                <w:b/>
                <w:i/>
              </w:rPr>
              <w:t>Land Owner Transparency Act.</w:t>
            </w:r>
            <w:r w:rsidRPr="00D4693B">
              <w:t xml:space="preserve"> </w:t>
            </w:r>
            <w:r>
              <w:t>The</w:t>
            </w:r>
            <w:r w:rsidRPr="00D4693B">
              <w:t xml:space="preserve"> </w:t>
            </w:r>
            <w:r w:rsidRPr="00D4693B">
              <w:rPr>
                <w:i/>
              </w:rPr>
              <w:t xml:space="preserve">Land Owner Transparency Act, </w:t>
            </w:r>
            <w:r w:rsidRPr="00D4693B">
              <w:t>S.B.C. 2019, c. 23</w:t>
            </w:r>
            <w:r w:rsidRPr="00D4693B">
              <w:rPr>
                <w:i/>
              </w:rPr>
              <w:t xml:space="preserve"> </w:t>
            </w:r>
            <w:r w:rsidRPr="00D4693B">
              <w:t xml:space="preserve">(the </w:t>
            </w:r>
            <w:r>
              <w:t>“</w:t>
            </w:r>
            <w:r w:rsidRPr="00974277">
              <w:rPr>
                <w:i/>
              </w:rPr>
              <w:t>LOTA</w:t>
            </w:r>
            <w:r>
              <w:t>”</w:t>
            </w:r>
            <w:r w:rsidRPr="00974277">
              <w:t>)</w:t>
            </w:r>
            <w:r>
              <w:t xml:space="preserve"> came into</w:t>
            </w:r>
            <w:r w:rsidRPr="00656683">
              <w:rPr>
                <w:iCs/>
                <w:lang w:val="en-CA"/>
              </w:rPr>
              <w:t xml:space="preserve"> force </w:t>
            </w:r>
            <w:r>
              <w:t>on</w:t>
            </w:r>
            <w:r w:rsidRPr="00656683">
              <w:rPr>
                <w:iCs/>
                <w:lang w:val="en-CA"/>
              </w:rPr>
              <w:t xml:space="preserve"> November 30, 2020 (except for certain specified provisions that </w:t>
            </w:r>
            <w:r>
              <w:t xml:space="preserve">came </w:t>
            </w:r>
            <w:r w:rsidRPr="00656683">
              <w:rPr>
                <w:iCs/>
                <w:lang w:val="en-CA"/>
              </w:rPr>
              <w:t>into force on April 30, 2021)</w:t>
            </w:r>
            <w:r>
              <w:rPr>
                <w:iCs/>
                <w:lang w:val="en-CA"/>
              </w:rPr>
              <w:t xml:space="preserve"> </w:t>
            </w:r>
            <w:r>
              <w:t xml:space="preserve">The </w:t>
            </w:r>
            <w:r w:rsidRPr="00837850">
              <w:rPr>
                <w:i/>
              </w:rPr>
              <w:t>LOTA</w:t>
            </w:r>
            <w:r>
              <w:t xml:space="preserve"> includes</w:t>
            </w:r>
            <w:r w:rsidRPr="00656683">
              <w:rPr>
                <w:iCs/>
                <w:lang w:val="en-CA"/>
              </w:rPr>
              <w:t xml:space="preserve"> the Land Owner Transparency Regulation,</w:t>
            </w:r>
            <w:r>
              <w:rPr>
                <w:iCs/>
                <w:lang w:val="en-CA"/>
              </w:rPr>
              <w:t xml:space="preserve"> </w:t>
            </w:r>
            <w:r w:rsidRPr="004B47D9">
              <w:rPr>
                <w:lang w:val="en-CA"/>
              </w:rPr>
              <w:t>B</w:t>
            </w:r>
            <w:r>
              <w:t>.</w:t>
            </w:r>
            <w:r w:rsidRPr="004B47D9">
              <w:rPr>
                <w:lang w:val="en-CA"/>
              </w:rPr>
              <w:t>C</w:t>
            </w:r>
            <w:r>
              <w:t>.</w:t>
            </w:r>
            <w:r w:rsidRPr="004B47D9">
              <w:rPr>
                <w:lang w:val="en-CA"/>
              </w:rPr>
              <w:t xml:space="preserve"> Reg</w:t>
            </w:r>
            <w:r>
              <w:t>.</w:t>
            </w:r>
            <w:r w:rsidRPr="004B47D9">
              <w:rPr>
                <w:lang w:val="en-CA"/>
              </w:rPr>
              <w:t xml:space="preserve"> 250/2020</w:t>
            </w:r>
            <w:r>
              <w:rPr>
                <w:lang w:val="en-CA"/>
              </w:rPr>
              <w:t>,</w:t>
            </w:r>
            <w:r w:rsidRPr="00656683">
              <w:rPr>
                <w:iCs/>
                <w:lang w:val="en-CA"/>
              </w:rPr>
              <w:t xml:space="preserve"> </w:t>
            </w:r>
            <w:r>
              <w:t xml:space="preserve">also </w:t>
            </w:r>
            <w:r w:rsidRPr="00656683">
              <w:rPr>
                <w:iCs/>
                <w:lang w:val="en-CA"/>
              </w:rPr>
              <w:t>made effective November 30, 2020. The</w:t>
            </w:r>
            <w:r w:rsidRPr="00656683">
              <w:t xml:space="preserve"> </w:t>
            </w:r>
            <w:r w:rsidRPr="00656683">
              <w:rPr>
                <w:i/>
              </w:rPr>
              <w:t>LOTA</w:t>
            </w:r>
            <w:r w:rsidRPr="00656683">
              <w:t xml:space="preserve"> requires a transparency declaration</w:t>
            </w:r>
            <w:r>
              <w:t>, or r</w:t>
            </w:r>
            <w:r w:rsidRPr="00067B6F">
              <w:t>eport (if applicable),</w:t>
            </w:r>
            <w:r w:rsidRPr="00656683">
              <w:t xml:space="preserve"> to be filed in the new Land Owner Transparency</w:t>
            </w:r>
            <w:r>
              <w:br/>
            </w:r>
          </w:p>
        </w:tc>
        <w:tc>
          <w:tcPr>
            <w:tcW w:w="450" w:type="dxa"/>
            <w:tcBorders>
              <w:left w:val="single" w:sz="6" w:space="0" w:color="auto"/>
            </w:tcBorders>
          </w:tcPr>
          <w:p w14:paraId="587D4E79" w14:textId="77777777" w:rsidR="00EA7D8E" w:rsidRPr="00CA6574" w:rsidRDefault="00EA7D8E" w:rsidP="00B907EB">
            <w:pPr>
              <w:pStyle w:val="NormalparagraphGN"/>
            </w:pPr>
          </w:p>
        </w:tc>
        <w:tc>
          <w:tcPr>
            <w:tcW w:w="450" w:type="dxa"/>
            <w:tcBorders>
              <w:left w:val="single" w:sz="6" w:space="0" w:color="auto"/>
            </w:tcBorders>
          </w:tcPr>
          <w:p w14:paraId="5A386893" w14:textId="77777777" w:rsidR="00EA7D8E" w:rsidRPr="00CA6574" w:rsidRDefault="00EA7D8E" w:rsidP="00B907EB">
            <w:pPr>
              <w:pStyle w:val="NormalparagraphGN"/>
            </w:pPr>
          </w:p>
        </w:tc>
        <w:tc>
          <w:tcPr>
            <w:tcW w:w="450" w:type="dxa"/>
            <w:tcBorders>
              <w:left w:val="single" w:sz="6" w:space="0" w:color="auto"/>
            </w:tcBorders>
          </w:tcPr>
          <w:p w14:paraId="4110A977" w14:textId="77777777" w:rsidR="00EA7D8E" w:rsidRPr="00CA6574" w:rsidRDefault="00EA7D8E" w:rsidP="00B907EB">
            <w:pPr>
              <w:pStyle w:val="NormalparagraphGN"/>
            </w:pPr>
          </w:p>
        </w:tc>
        <w:tc>
          <w:tcPr>
            <w:tcW w:w="1001" w:type="dxa"/>
            <w:tcBorders>
              <w:left w:val="single" w:sz="6" w:space="0" w:color="auto"/>
            </w:tcBorders>
          </w:tcPr>
          <w:p w14:paraId="374220CF" w14:textId="77777777" w:rsidR="00EA7D8E" w:rsidRPr="00CA6574" w:rsidRDefault="00EA7D8E" w:rsidP="00B907EB">
            <w:pPr>
              <w:pStyle w:val="NormalparagraphGN"/>
            </w:pPr>
          </w:p>
        </w:tc>
        <w:tc>
          <w:tcPr>
            <w:tcW w:w="1001" w:type="dxa"/>
            <w:tcBorders>
              <w:left w:val="single" w:sz="6" w:space="0" w:color="auto"/>
            </w:tcBorders>
          </w:tcPr>
          <w:p w14:paraId="7EF17239" w14:textId="77777777" w:rsidR="00EA7D8E" w:rsidRPr="00CA6574" w:rsidRDefault="00EA7D8E" w:rsidP="00B907EB">
            <w:pPr>
              <w:pStyle w:val="NormalparagraphGN"/>
            </w:pPr>
          </w:p>
        </w:tc>
      </w:tr>
      <w:tr w:rsidR="00EA7D8E" w:rsidRPr="00CA6574" w14:paraId="03E930A9" w14:textId="77777777" w:rsidTr="00EA7D8E">
        <w:trPr>
          <w:cantSplit/>
          <w:trHeight w:val="1161"/>
        </w:trPr>
        <w:tc>
          <w:tcPr>
            <w:tcW w:w="6948" w:type="dxa"/>
          </w:tcPr>
          <w:p w14:paraId="29C43EC3" w14:textId="003624F3" w:rsidR="00EA7D8E" w:rsidRPr="00295927" w:rsidRDefault="00EA7D8E" w:rsidP="00EA7D8E">
            <w:pPr>
              <w:pStyle w:val="NormalparagraphGN"/>
              <w:ind w:left="360"/>
              <w:rPr>
                <w:b/>
                <w:i/>
              </w:rPr>
            </w:pPr>
            <w:r w:rsidRPr="00656683">
              <w:lastRenderedPageBreak/>
              <w:t>Registr</w:t>
            </w:r>
            <w:r>
              <w:t>y</w:t>
            </w:r>
            <w:r w:rsidRPr="00656683">
              <w:t xml:space="preserve"> (the “LOTR”) any time an application is made to register or transfer an interest in land under the </w:t>
            </w:r>
            <w:r w:rsidRPr="00656683">
              <w:rPr>
                <w:i/>
              </w:rPr>
              <w:t>Land Title Act</w:t>
            </w:r>
            <w:r w:rsidRPr="00656683">
              <w:t>,</w:t>
            </w:r>
            <w:r w:rsidRPr="00656683">
              <w:rPr>
                <w:rStyle w:val="Italics"/>
              </w:rPr>
              <w:t xml:space="preserve"> </w:t>
            </w:r>
            <w:r w:rsidRPr="00656683">
              <w:t>R.S.B.C. 1996, c. 250. The LOTR will be administered by the Land Title and Survey Authority of British Columbia.</w:t>
            </w:r>
            <w:r>
              <w:t xml:space="preserve"> </w:t>
            </w:r>
            <w:r w:rsidRPr="00656683">
              <w:t>A</w:t>
            </w:r>
            <w:r w:rsidRPr="00656683">
              <w:rPr>
                <w:iCs/>
                <w:lang w:val="en-CA"/>
              </w:rPr>
              <w:t xml:space="preserve"> reporting body under the </w:t>
            </w:r>
            <w:r w:rsidRPr="00656683">
              <w:rPr>
                <w:i/>
                <w:iCs/>
                <w:lang w:val="en-CA"/>
              </w:rPr>
              <w:t>LOTA—</w:t>
            </w:r>
            <w:r w:rsidRPr="00656683">
              <w:rPr>
                <w:iCs/>
                <w:lang w:val="en-CA"/>
              </w:rPr>
              <w:t>which includes most corporations, trusts, and partnerships, subject to limited exemptions—will have to file a transparency report any time there is a change in interest holders or beneficial owners, even if legal title is</w:t>
            </w:r>
            <w:r>
              <w:rPr>
                <w:iCs/>
                <w:lang w:val="en-CA"/>
              </w:rPr>
              <w:t xml:space="preserve"> not trans</w:t>
            </w:r>
            <w:r w:rsidRPr="00656683">
              <w:rPr>
                <w:iCs/>
                <w:lang w:val="en-CA"/>
              </w:rPr>
              <w:t xml:space="preserve">ferred. </w:t>
            </w:r>
            <w:r>
              <w:t xml:space="preserve">For further information, see the Land Owner Transparency Registry website and also the course presentation and materials by S. Carter, R. </w:t>
            </w:r>
            <w:proofErr w:type="spellStart"/>
            <w:r>
              <w:t>Danakody</w:t>
            </w:r>
            <w:proofErr w:type="spellEnd"/>
            <w:r>
              <w:t xml:space="preserve">, and C.R. MacDonald, “Land Title and Survey Authority of British Columbia: Land Owner Transparency Registry”, in </w:t>
            </w:r>
            <w:r>
              <w:rPr>
                <w:i/>
                <w:iCs/>
              </w:rPr>
              <w:t xml:space="preserve">Residential Real Estate Conference 2020 </w:t>
            </w:r>
            <w:r>
              <w:t xml:space="preserve">(CLEBC, 2020), and by R. </w:t>
            </w:r>
            <w:proofErr w:type="spellStart"/>
            <w:r>
              <w:t>Danakody</w:t>
            </w:r>
            <w:proofErr w:type="spellEnd"/>
            <w:r>
              <w:t xml:space="preserve"> and T. Norman, “Land Owner Transparency Registry (LOTR)” in </w:t>
            </w:r>
            <w:r>
              <w:rPr>
                <w:i/>
              </w:rPr>
              <w:t>Real Estate Development Update 2021</w:t>
            </w:r>
            <w:r>
              <w:t xml:space="preserve"> (CLEBC, 2021)</w:t>
            </w:r>
            <w:r w:rsidRPr="002A1A52">
              <w:t xml:space="preserve">, </w:t>
            </w:r>
            <w:r>
              <w:t>available through CLEBC Courses on Demand.</w:t>
            </w:r>
          </w:p>
        </w:tc>
        <w:tc>
          <w:tcPr>
            <w:tcW w:w="450" w:type="dxa"/>
            <w:tcBorders>
              <w:left w:val="single" w:sz="6" w:space="0" w:color="auto"/>
            </w:tcBorders>
          </w:tcPr>
          <w:p w14:paraId="68A88DD0" w14:textId="77777777" w:rsidR="00EA7D8E" w:rsidRPr="00CA6574" w:rsidRDefault="00EA7D8E" w:rsidP="00B907EB">
            <w:pPr>
              <w:pStyle w:val="NormalparagraphGN"/>
            </w:pPr>
          </w:p>
        </w:tc>
        <w:tc>
          <w:tcPr>
            <w:tcW w:w="450" w:type="dxa"/>
            <w:tcBorders>
              <w:left w:val="single" w:sz="6" w:space="0" w:color="auto"/>
            </w:tcBorders>
          </w:tcPr>
          <w:p w14:paraId="25554FA3" w14:textId="77777777" w:rsidR="00EA7D8E" w:rsidRPr="00CA6574" w:rsidRDefault="00EA7D8E" w:rsidP="00B907EB">
            <w:pPr>
              <w:pStyle w:val="NormalparagraphGN"/>
            </w:pPr>
          </w:p>
        </w:tc>
        <w:tc>
          <w:tcPr>
            <w:tcW w:w="450" w:type="dxa"/>
            <w:tcBorders>
              <w:left w:val="single" w:sz="6" w:space="0" w:color="auto"/>
            </w:tcBorders>
          </w:tcPr>
          <w:p w14:paraId="54DCE958" w14:textId="77777777" w:rsidR="00EA7D8E" w:rsidRPr="00CA6574" w:rsidRDefault="00EA7D8E" w:rsidP="00B907EB">
            <w:pPr>
              <w:pStyle w:val="NormalparagraphGN"/>
            </w:pPr>
          </w:p>
        </w:tc>
        <w:tc>
          <w:tcPr>
            <w:tcW w:w="1001" w:type="dxa"/>
            <w:tcBorders>
              <w:left w:val="single" w:sz="6" w:space="0" w:color="auto"/>
            </w:tcBorders>
          </w:tcPr>
          <w:p w14:paraId="39F0B999" w14:textId="77777777" w:rsidR="00EA7D8E" w:rsidRPr="00CA6574" w:rsidRDefault="00EA7D8E" w:rsidP="00B907EB">
            <w:pPr>
              <w:pStyle w:val="NormalparagraphGN"/>
            </w:pPr>
          </w:p>
        </w:tc>
        <w:tc>
          <w:tcPr>
            <w:tcW w:w="1001" w:type="dxa"/>
            <w:tcBorders>
              <w:left w:val="single" w:sz="6" w:space="0" w:color="auto"/>
            </w:tcBorders>
          </w:tcPr>
          <w:p w14:paraId="630CFA3F" w14:textId="77777777" w:rsidR="00EA7D8E" w:rsidRPr="00CA6574" w:rsidRDefault="00EA7D8E" w:rsidP="00B907EB">
            <w:pPr>
              <w:pStyle w:val="NormalparagraphGN"/>
            </w:pPr>
          </w:p>
        </w:tc>
      </w:tr>
      <w:tr w:rsidR="005174C5" w:rsidRPr="00CA6574" w14:paraId="77BAEE76" w14:textId="77777777" w:rsidTr="00837850">
        <w:trPr>
          <w:cantSplit/>
          <w:trHeight w:val="4932"/>
        </w:trPr>
        <w:tc>
          <w:tcPr>
            <w:tcW w:w="6948" w:type="dxa"/>
          </w:tcPr>
          <w:p w14:paraId="563C0399" w14:textId="7334FAC8" w:rsidR="001C5873" w:rsidRPr="00A41D0E" w:rsidRDefault="001C5873" w:rsidP="00837850">
            <w:pPr>
              <w:pStyle w:val="NormalparagraphGN"/>
              <w:numPr>
                <w:ilvl w:val="0"/>
                <w:numId w:val="23"/>
              </w:numPr>
            </w:pPr>
            <w:r w:rsidRPr="001C5873">
              <w:rPr>
                <w:b/>
              </w:rPr>
              <w:t>Transparency register.</w:t>
            </w:r>
            <w:r w:rsidRPr="001C5873">
              <w:t xml:space="preserve"> The operative provisions of the </w:t>
            </w:r>
            <w:r w:rsidRPr="001C5873">
              <w:rPr>
                <w:i/>
              </w:rPr>
              <w:t>Business Corporations Amendment Act</w:t>
            </w:r>
            <w:r w:rsidRPr="00A67D31">
              <w:rPr>
                <w:i/>
              </w:rPr>
              <w:t>, 2019</w:t>
            </w:r>
            <w:r w:rsidRPr="001C5873">
              <w:t xml:space="preserve">, S.B.C. 2019, c. 15 came into force on October 1, 2020 (B.C. Reg. 77/2020). The Act requires private companies incorporated under the </w:t>
            </w:r>
            <w:r w:rsidRPr="001C5873">
              <w:rPr>
                <w:i/>
              </w:rPr>
              <w:t>BCA</w:t>
            </w:r>
            <w:r w:rsidRPr="001C5873">
              <w:t xml:space="preserve"> to create and maintain a “transparency register” of information about “significant individuals”. Individuals will be considered “significant individuals” if: they directly or indirectly own, or indirectly control 25% or more of the issued shares of the company, or shares that carry 25% or more of the voting rights of the company; or they are able to exercise rights or influence, directly or indirectly, that would result in the election, appointment or removal of the majority of the company’s directors. If two or more individuals meet the above criteria by jointly holding the prescribed interest or right, then each will be deemed a “significant individual”. Similarly, two or more individuals who are acting in concert, or who meet the definition of “associate” in s. 192(1) of the </w:t>
            </w:r>
            <w:r w:rsidRPr="001C5873">
              <w:rPr>
                <w:i/>
              </w:rPr>
              <w:t>BCA</w:t>
            </w:r>
            <w:r w:rsidRPr="001C5873">
              <w:t xml:space="preserve">, must add their interests together. If the group meets the above criteria, the company must list every member of the group as significant individuals in its transparency register. The transparency register must contain the following information for each significant individual: full name, date of birth, and last known address; whether the individual is a Canadian citizen or permanent resident of Canada and, if not, a list of every country of which the individual is a citizen; whether the individual is a resident of Canada for tax purposes; the date on which the individual became or ceased to be a significant individual; a description of how the individual meets the definition of a significant individual; and any further information that may be required by regulation. Access more information </w:t>
            </w:r>
            <w:r w:rsidR="00FF256A" w:rsidRPr="00EA7D8E">
              <w:t>at</w:t>
            </w:r>
            <w:r w:rsidR="00FF256A">
              <w:t xml:space="preserve"> </w:t>
            </w:r>
            <w:hyperlink r:id="rId10" w:history="1">
              <w:r w:rsidR="00FF256A" w:rsidRPr="00766CE7">
                <w:rPr>
                  <w:rStyle w:val="Hyperlink"/>
                </w:rPr>
                <w:t>www2.gov.bc.ca/gov/content/employment-business/business/bc-companies/</w:t>
              </w:r>
              <w:r w:rsidR="00EA7D8E" w:rsidRPr="00766CE7">
                <w:rPr>
                  <w:rStyle w:val="Hyperlink"/>
                </w:rPr>
                <w:br/>
              </w:r>
              <w:r w:rsidR="00FF256A" w:rsidRPr="00766CE7">
                <w:rPr>
                  <w:rStyle w:val="Hyperlink"/>
                </w:rPr>
                <w:t>transparency-register</w:t>
              </w:r>
            </w:hyperlink>
            <w:r w:rsidRPr="001C5873">
              <w:t>.</w:t>
            </w:r>
          </w:p>
        </w:tc>
        <w:tc>
          <w:tcPr>
            <w:tcW w:w="450" w:type="dxa"/>
            <w:tcBorders>
              <w:left w:val="single" w:sz="6" w:space="0" w:color="auto"/>
            </w:tcBorders>
          </w:tcPr>
          <w:p w14:paraId="5762ED41" w14:textId="77777777" w:rsidR="005174C5" w:rsidRPr="00CA6574" w:rsidRDefault="005174C5" w:rsidP="00B907EB">
            <w:pPr>
              <w:pStyle w:val="NormalparagraphGN"/>
            </w:pPr>
          </w:p>
        </w:tc>
        <w:tc>
          <w:tcPr>
            <w:tcW w:w="450" w:type="dxa"/>
            <w:tcBorders>
              <w:left w:val="single" w:sz="6" w:space="0" w:color="auto"/>
            </w:tcBorders>
          </w:tcPr>
          <w:p w14:paraId="0934CD4E" w14:textId="77777777" w:rsidR="005174C5" w:rsidRPr="00CA6574" w:rsidRDefault="005174C5" w:rsidP="00B907EB">
            <w:pPr>
              <w:pStyle w:val="NormalparagraphGN"/>
            </w:pPr>
          </w:p>
        </w:tc>
        <w:tc>
          <w:tcPr>
            <w:tcW w:w="450" w:type="dxa"/>
            <w:tcBorders>
              <w:left w:val="single" w:sz="6" w:space="0" w:color="auto"/>
            </w:tcBorders>
          </w:tcPr>
          <w:p w14:paraId="49B4D206" w14:textId="77777777" w:rsidR="005174C5" w:rsidRPr="00CA6574" w:rsidRDefault="005174C5" w:rsidP="00B907EB">
            <w:pPr>
              <w:pStyle w:val="NormalparagraphGN"/>
            </w:pPr>
          </w:p>
        </w:tc>
        <w:tc>
          <w:tcPr>
            <w:tcW w:w="1001" w:type="dxa"/>
            <w:tcBorders>
              <w:left w:val="single" w:sz="6" w:space="0" w:color="auto"/>
            </w:tcBorders>
          </w:tcPr>
          <w:p w14:paraId="38E9FBDC" w14:textId="77777777" w:rsidR="005174C5" w:rsidRPr="00CA6574" w:rsidRDefault="005174C5" w:rsidP="00B907EB">
            <w:pPr>
              <w:pStyle w:val="NormalparagraphGN"/>
            </w:pPr>
          </w:p>
        </w:tc>
        <w:tc>
          <w:tcPr>
            <w:tcW w:w="1001" w:type="dxa"/>
            <w:tcBorders>
              <w:left w:val="single" w:sz="6" w:space="0" w:color="auto"/>
            </w:tcBorders>
          </w:tcPr>
          <w:p w14:paraId="036FEBEF" w14:textId="77777777" w:rsidR="005174C5" w:rsidRPr="00CA6574" w:rsidRDefault="005174C5" w:rsidP="00B907EB">
            <w:pPr>
              <w:pStyle w:val="NormalparagraphGN"/>
            </w:pPr>
          </w:p>
        </w:tc>
      </w:tr>
      <w:tr w:rsidR="00C47C89" w:rsidRPr="00CA6574" w14:paraId="7F45BB21" w14:textId="77777777" w:rsidTr="005F1DF9">
        <w:trPr>
          <w:cantSplit/>
          <w:trHeight w:val="3978"/>
        </w:trPr>
        <w:tc>
          <w:tcPr>
            <w:tcW w:w="6948" w:type="dxa"/>
          </w:tcPr>
          <w:p w14:paraId="45FD55F6" w14:textId="5389ED82" w:rsidR="00C47C89" w:rsidRPr="00C47C89" w:rsidRDefault="00C47C89" w:rsidP="00C47C89">
            <w:pPr>
              <w:pStyle w:val="NormalparagraphGN"/>
              <w:numPr>
                <w:ilvl w:val="0"/>
                <w:numId w:val="23"/>
              </w:numPr>
              <w:rPr>
                <w:iCs/>
                <w:lang w:val="en-CA"/>
              </w:rPr>
            </w:pPr>
            <w:r w:rsidRPr="00F0648C">
              <w:rPr>
                <w:b/>
              </w:rPr>
              <w:t>Exemptions on additional property transfer tax on foreign entities.</w:t>
            </w:r>
            <w:r w:rsidRPr="00A41D0E">
              <w:t xml:space="preserve"> The Property Transfer Tax Regulation, B.C. Reg. 74/88, provides for relief, in certain circumstances, from the additional 20% property transfer tax on transfers of residential property in the Metro Vancouver Regional District, Capital Regional District, Regional District of Central Okanagan, Fraser Valley Regional District, and Regional District of Nanaimo to “foreign entities”. Effective June </w:t>
            </w:r>
            <w:r>
              <w:t>1</w:t>
            </w:r>
            <w:r w:rsidRPr="00A41D0E">
              <w:t xml:space="preserve">, 2020, see s. 22 for the “Exemption for general partner </w:t>
            </w:r>
            <w:r>
              <w:t>or bare trustee of</w:t>
            </w:r>
            <w:r w:rsidRPr="00A41D0E">
              <w:t xml:space="preserve"> limited partnership”. See</w:t>
            </w:r>
            <w:r>
              <w:t xml:space="preserve"> also</w:t>
            </w:r>
            <w:r w:rsidRPr="00A41D0E">
              <w:t xml:space="preserve"> ss. 17.1 to 20 for the exemption for a foreign national who has confirmation as a worker under the Provincial Nominee Program and s. 21 regarding the refund of the extra tax paid by a transferee who became a Canadian citizen or permanent resident within one year of the registration date.</w:t>
            </w:r>
          </w:p>
        </w:tc>
        <w:tc>
          <w:tcPr>
            <w:tcW w:w="450" w:type="dxa"/>
            <w:tcBorders>
              <w:left w:val="single" w:sz="6" w:space="0" w:color="auto"/>
            </w:tcBorders>
          </w:tcPr>
          <w:p w14:paraId="22D7A35F" w14:textId="77777777" w:rsidR="00C47C89" w:rsidRPr="00CA6574" w:rsidRDefault="00C47C89" w:rsidP="00B907EB">
            <w:pPr>
              <w:pStyle w:val="NormalparagraphGN"/>
            </w:pPr>
          </w:p>
        </w:tc>
        <w:tc>
          <w:tcPr>
            <w:tcW w:w="450" w:type="dxa"/>
            <w:tcBorders>
              <w:left w:val="single" w:sz="6" w:space="0" w:color="auto"/>
            </w:tcBorders>
          </w:tcPr>
          <w:p w14:paraId="45A347A8" w14:textId="77777777" w:rsidR="00C47C89" w:rsidRPr="00CA6574" w:rsidRDefault="00C47C89" w:rsidP="00B907EB">
            <w:pPr>
              <w:pStyle w:val="NormalparagraphGN"/>
            </w:pPr>
          </w:p>
        </w:tc>
        <w:tc>
          <w:tcPr>
            <w:tcW w:w="450" w:type="dxa"/>
            <w:tcBorders>
              <w:left w:val="single" w:sz="6" w:space="0" w:color="auto"/>
            </w:tcBorders>
          </w:tcPr>
          <w:p w14:paraId="2400D133" w14:textId="77777777" w:rsidR="00C47C89" w:rsidRPr="00CA6574" w:rsidRDefault="00C47C89" w:rsidP="00B907EB">
            <w:pPr>
              <w:pStyle w:val="NormalparagraphGN"/>
            </w:pPr>
          </w:p>
        </w:tc>
        <w:tc>
          <w:tcPr>
            <w:tcW w:w="1001" w:type="dxa"/>
            <w:tcBorders>
              <w:left w:val="single" w:sz="6" w:space="0" w:color="auto"/>
            </w:tcBorders>
          </w:tcPr>
          <w:p w14:paraId="4E664AD9" w14:textId="77777777" w:rsidR="00C47C89" w:rsidRPr="00CA6574" w:rsidRDefault="00C47C89" w:rsidP="00B907EB">
            <w:pPr>
              <w:pStyle w:val="NormalparagraphGN"/>
            </w:pPr>
          </w:p>
        </w:tc>
        <w:tc>
          <w:tcPr>
            <w:tcW w:w="1001" w:type="dxa"/>
            <w:tcBorders>
              <w:left w:val="single" w:sz="6" w:space="0" w:color="auto"/>
            </w:tcBorders>
          </w:tcPr>
          <w:p w14:paraId="45523EF3" w14:textId="77777777" w:rsidR="00C47C89" w:rsidRPr="00CA6574" w:rsidRDefault="00C47C89" w:rsidP="00B907EB">
            <w:pPr>
              <w:pStyle w:val="NormalparagraphGN"/>
            </w:pPr>
          </w:p>
        </w:tc>
      </w:tr>
      <w:tr w:rsidR="000246AF" w:rsidRPr="00CA6574" w14:paraId="3232B13C" w14:textId="77777777" w:rsidTr="00C47C89">
        <w:trPr>
          <w:cantSplit/>
          <w:trHeight w:val="1710"/>
        </w:trPr>
        <w:tc>
          <w:tcPr>
            <w:tcW w:w="6948" w:type="dxa"/>
          </w:tcPr>
          <w:p w14:paraId="6A795ED4" w14:textId="201B5F89" w:rsidR="00837850" w:rsidRPr="00C47C89" w:rsidRDefault="002D4E41" w:rsidP="00C47C89">
            <w:pPr>
              <w:pStyle w:val="NormalparagraphGN"/>
              <w:numPr>
                <w:ilvl w:val="0"/>
                <w:numId w:val="23"/>
              </w:numPr>
              <w:spacing w:before="120"/>
              <w:rPr>
                <w:b/>
                <w:bCs/>
              </w:rPr>
            </w:pPr>
            <w:r>
              <w:rPr>
                <w:b/>
              </w:rPr>
              <w:lastRenderedPageBreak/>
              <w:t>Purpose-built rental exemption</w:t>
            </w:r>
            <w:r>
              <w:t xml:space="preserve">. </w:t>
            </w:r>
            <w:r w:rsidRPr="00BB64C5">
              <w:rPr>
                <w:lang w:val="en-CA"/>
              </w:rPr>
              <w:t xml:space="preserve">Effective January 1, 2024, certain new purpose-built rental buildings will be exempt from the further </w:t>
            </w:r>
            <w:r w:rsidR="008C4990">
              <w:rPr>
                <w:lang w:val="en-CA"/>
              </w:rPr>
              <w:t>2</w:t>
            </w:r>
            <w:r w:rsidR="00621ACC">
              <w:rPr>
                <w:lang w:val="en-CA"/>
              </w:rPr>
              <w:t>%</w:t>
            </w:r>
            <w:r w:rsidRPr="00BB64C5">
              <w:rPr>
                <w:lang w:val="en-CA"/>
              </w:rPr>
              <w:t xml:space="preserve"> property tax applied to residential property valu</w:t>
            </w:r>
            <w:r>
              <w:rPr>
                <w:lang w:val="en-CA"/>
              </w:rPr>
              <w:t>es that exceed $3,000,000 and meet the eligibility requirements</w:t>
            </w:r>
            <w:r w:rsidRPr="00BB64C5">
              <w:rPr>
                <w:lang w:val="en-CA"/>
              </w:rPr>
              <w:t xml:space="preserve">. Updates to the </w:t>
            </w:r>
            <w:r>
              <w:rPr>
                <w:lang w:val="en-CA"/>
              </w:rPr>
              <w:t>tax exemption and eligibility requirements</w:t>
            </w:r>
            <w:r w:rsidRPr="00BB64C5">
              <w:rPr>
                <w:lang w:val="en-CA"/>
              </w:rPr>
              <w:t xml:space="preserve"> can be found </w:t>
            </w:r>
            <w:r w:rsidR="00621ACC">
              <w:rPr>
                <w:lang w:val="en-CA"/>
              </w:rPr>
              <w:t xml:space="preserve">at </w:t>
            </w:r>
            <w:hyperlink r:id="rId11" w:anchor=":~:text=Purpose%2Dbuilt%20rental%20exemption,property%20value%20that%20exceeds%20%243%2C000%2C000" w:history="1">
              <w:r w:rsidR="00621ACC" w:rsidRPr="00F36409">
                <w:rPr>
                  <w:rStyle w:val="Hyperlink"/>
                  <w:lang w:val="en-CA"/>
                </w:rPr>
                <w:t>www2.gov.bc.ca/gov/content/taxes/property-taxes/property-transfer-tax/exemptions#:~:text=Purpose%2Dbuilt%20rental%20exemption,property%20value%20that%20exceeds%20%243%2C000%2C000</w:t>
              </w:r>
            </w:hyperlink>
            <w:r w:rsidR="00793D7D">
              <w:rPr>
                <w:lang w:val="en-CA"/>
              </w:rPr>
              <w:t>.</w:t>
            </w:r>
          </w:p>
        </w:tc>
        <w:tc>
          <w:tcPr>
            <w:tcW w:w="450" w:type="dxa"/>
            <w:tcBorders>
              <w:left w:val="single" w:sz="6" w:space="0" w:color="auto"/>
            </w:tcBorders>
          </w:tcPr>
          <w:p w14:paraId="4D37D065" w14:textId="77777777" w:rsidR="000246AF" w:rsidRPr="00CA6574" w:rsidRDefault="000246AF" w:rsidP="00B907EB">
            <w:pPr>
              <w:pStyle w:val="NormalparagraphGN"/>
            </w:pPr>
          </w:p>
        </w:tc>
        <w:tc>
          <w:tcPr>
            <w:tcW w:w="450" w:type="dxa"/>
            <w:tcBorders>
              <w:left w:val="single" w:sz="6" w:space="0" w:color="auto"/>
            </w:tcBorders>
          </w:tcPr>
          <w:p w14:paraId="71428350" w14:textId="77777777" w:rsidR="000246AF" w:rsidRPr="00CA6574" w:rsidRDefault="000246AF" w:rsidP="00B907EB">
            <w:pPr>
              <w:pStyle w:val="NormalparagraphGN"/>
            </w:pPr>
          </w:p>
        </w:tc>
        <w:tc>
          <w:tcPr>
            <w:tcW w:w="450" w:type="dxa"/>
            <w:tcBorders>
              <w:left w:val="single" w:sz="6" w:space="0" w:color="auto"/>
            </w:tcBorders>
          </w:tcPr>
          <w:p w14:paraId="1FB47EFD" w14:textId="77777777" w:rsidR="000246AF" w:rsidRPr="00CA6574" w:rsidRDefault="000246AF" w:rsidP="00B907EB">
            <w:pPr>
              <w:pStyle w:val="NormalparagraphGN"/>
            </w:pPr>
          </w:p>
        </w:tc>
        <w:tc>
          <w:tcPr>
            <w:tcW w:w="1001" w:type="dxa"/>
            <w:tcBorders>
              <w:left w:val="single" w:sz="6" w:space="0" w:color="auto"/>
            </w:tcBorders>
          </w:tcPr>
          <w:p w14:paraId="6A786B2D" w14:textId="77777777" w:rsidR="000246AF" w:rsidRPr="00CA6574" w:rsidRDefault="000246AF" w:rsidP="00B907EB">
            <w:pPr>
              <w:pStyle w:val="NormalparagraphGN"/>
            </w:pPr>
          </w:p>
        </w:tc>
        <w:tc>
          <w:tcPr>
            <w:tcW w:w="1001" w:type="dxa"/>
            <w:tcBorders>
              <w:left w:val="single" w:sz="6" w:space="0" w:color="auto"/>
            </w:tcBorders>
          </w:tcPr>
          <w:p w14:paraId="28B49130" w14:textId="77777777" w:rsidR="000246AF" w:rsidRPr="00CA6574" w:rsidRDefault="000246AF" w:rsidP="00B907EB">
            <w:pPr>
              <w:pStyle w:val="NormalparagraphGN"/>
            </w:pPr>
          </w:p>
        </w:tc>
      </w:tr>
      <w:tr w:rsidR="00CE68AC" w:rsidRPr="00CA6574" w14:paraId="25195BDF" w14:textId="77777777" w:rsidTr="00B907EB">
        <w:trPr>
          <w:cantSplit/>
          <w:trHeight w:val="1377"/>
        </w:trPr>
        <w:tc>
          <w:tcPr>
            <w:tcW w:w="6948" w:type="dxa"/>
          </w:tcPr>
          <w:p w14:paraId="2861B909" w14:textId="213AA6D3" w:rsidR="00CE68AC" w:rsidRPr="00C47C89" w:rsidRDefault="00C47C89" w:rsidP="00C47C89">
            <w:pPr>
              <w:pStyle w:val="NormalparagraphGN"/>
              <w:widowControl w:val="0"/>
              <w:numPr>
                <w:ilvl w:val="0"/>
                <w:numId w:val="38"/>
              </w:numPr>
              <w:spacing w:before="120"/>
              <w:ind w:left="345"/>
              <w:rPr>
                <w:b/>
              </w:rPr>
            </w:pPr>
            <w:r w:rsidRPr="00793D7D">
              <w:rPr>
                <w:b/>
                <w:i/>
              </w:rPr>
              <w:t>Business Corporations Act</w:t>
            </w:r>
            <w:r w:rsidRPr="00E135C8">
              <w:t xml:space="preserve">. Amendments to the </w:t>
            </w:r>
            <w:r>
              <w:rPr>
                <w:i/>
              </w:rPr>
              <w:t>BCA</w:t>
            </w:r>
            <w:r w:rsidRPr="00E135C8">
              <w:t xml:space="preserve"> between October 28, 2021 and July 7, 2023 incorporate language changes </w:t>
            </w:r>
            <w:r>
              <w:t xml:space="preserve">to </w:t>
            </w:r>
            <w:r w:rsidRPr="00E135C8">
              <w:t xml:space="preserve">reflect greater inclusivity. </w:t>
            </w:r>
            <w:r w:rsidRPr="00101CCF">
              <w:t>S</w:t>
            </w:r>
            <w:r>
              <w:t>ection</w:t>
            </w:r>
            <w:r w:rsidRPr="00101CCF">
              <w:t xml:space="preserve"> 124(</w:t>
            </w:r>
            <w:proofErr w:type="gramStart"/>
            <w:r w:rsidRPr="00101CCF">
              <w:t>2)(</w:t>
            </w:r>
            <w:proofErr w:type="gramEnd"/>
            <w:r w:rsidRPr="00101CCF">
              <w:t>b.1) addresses a person’s qualificatio</w:t>
            </w:r>
            <w:r>
              <w:t>n to become a director if a cer</w:t>
            </w:r>
            <w:r w:rsidRPr="00101CCF">
              <w:t xml:space="preserve">tificate of incapability had been issued under the </w:t>
            </w:r>
            <w:r w:rsidRPr="00793D7D">
              <w:rPr>
                <w:i/>
              </w:rPr>
              <w:t>Adult Guardianship Act</w:t>
            </w:r>
            <w:r>
              <w:t>, R.S.B.C. 1996, c. 6</w:t>
            </w:r>
            <w:r w:rsidRPr="00101CCF">
              <w:t xml:space="preserve"> (providing they are not qualified unless such certificate is cancelled)</w:t>
            </w:r>
            <w:r>
              <w:t>.</w:t>
            </w:r>
            <w:r w:rsidRPr="00101CCF">
              <w:t xml:space="preserve"> </w:t>
            </w:r>
            <w:r>
              <w:t>O</w:t>
            </w:r>
            <w:r w:rsidRPr="00E135C8">
              <w:t>therwise, no substantive amendments were made</w:t>
            </w:r>
            <w:r>
              <w:t>.</w:t>
            </w:r>
          </w:p>
        </w:tc>
        <w:tc>
          <w:tcPr>
            <w:tcW w:w="450" w:type="dxa"/>
            <w:tcBorders>
              <w:left w:val="single" w:sz="6" w:space="0" w:color="auto"/>
            </w:tcBorders>
          </w:tcPr>
          <w:p w14:paraId="48045022" w14:textId="77777777" w:rsidR="00CE68AC" w:rsidRPr="00CA6574" w:rsidRDefault="00CE68AC" w:rsidP="00B907EB">
            <w:pPr>
              <w:pStyle w:val="NormalparagraphGN"/>
            </w:pPr>
          </w:p>
        </w:tc>
        <w:tc>
          <w:tcPr>
            <w:tcW w:w="450" w:type="dxa"/>
            <w:tcBorders>
              <w:left w:val="single" w:sz="6" w:space="0" w:color="auto"/>
            </w:tcBorders>
          </w:tcPr>
          <w:p w14:paraId="6882F53A" w14:textId="77777777" w:rsidR="00CE68AC" w:rsidRPr="00CA6574" w:rsidRDefault="00CE68AC" w:rsidP="00B907EB">
            <w:pPr>
              <w:pStyle w:val="NormalparagraphGN"/>
            </w:pPr>
          </w:p>
        </w:tc>
        <w:tc>
          <w:tcPr>
            <w:tcW w:w="450" w:type="dxa"/>
            <w:tcBorders>
              <w:left w:val="single" w:sz="6" w:space="0" w:color="auto"/>
            </w:tcBorders>
          </w:tcPr>
          <w:p w14:paraId="030699DA" w14:textId="77777777" w:rsidR="00CE68AC" w:rsidRPr="00CA6574" w:rsidRDefault="00CE68AC" w:rsidP="00B907EB">
            <w:pPr>
              <w:pStyle w:val="NormalparagraphGN"/>
            </w:pPr>
          </w:p>
        </w:tc>
        <w:tc>
          <w:tcPr>
            <w:tcW w:w="1001" w:type="dxa"/>
            <w:tcBorders>
              <w:left w:val="single" w:sz="6" w:space="0" w:color="auto"/>
            </w:tcBorders>
          </w:tcPr>
          <w:p w14:paraId="2F48E343" w14:textId="77777777" w:rsidR="00CE68AC" w:rsidRPr="00CA6574" w:rsidRDefault="00CE68AC" w:rsidP="00B907EB">
            <w:pPr>
              <w:pStyle w:val="NormalparagraphGN"/>
            </w:pPr>
          </w:p>
        </w:tc>
        <w:tc>
          <w:tcPr>
            <w:tcW w:w="1001" w:type="dxa"/>
            <w:tcBorders>
              <w:left w:val="single" w:sz="6" w:space="0" w:color="auto"/>
            </w:tcBorders>
          </w:tcPr>
          <w:p w14:paraId="1A435B7C" w14:textId="77777777" w:rsidR="00CE68AC" w:rsidRPr="00CA6574" w:rsidRDefault="00CE68AC" w:rsidP="00B907EB">
            <w:pPr>
              <w:pStyle w:val="NormalparagraphGN"/>
            </w:pPr>
          </w:p>
        </w:tc>
      </w:tr>
      <w:tr w:rsidR="00CE68AC" w:rsidRPr="00CA6574" w14:paraId="7193E2EF" w14:textId="77777777" w:rsidTr="005174C5">
        <w:trPr>
          <w:cantSplit/>
          <w:trHeight w:val="882"/>
        </w:trPr>
        <w:tc>
          <w:tcPr>
            <w:tcW w:w="6948" w:type="dxa"/>
          </w:tcPr>
          <w:p w14:paraId="58E639D9" w14:textId="2233C3BC" w:rsidR="005B4780" w:rsidRPr="00793D7D" w:rsidRDefault="00CE68AC" w:rsidP="00C47C89">
            <w:pPr>
              <w:pStyle w:val="NormalparagraphGN"/>
              <w:numPr>
                <w:ilvl w:val="0"/>
                <w:numId w:val="23"/>
              </w:numPr>
              <w:spacing w:before="120"/>
              <w:rPr>
                <w:b/>
              </w:rPr>
            </w:pPr>
            <w:r w:rsidRPr="00F0648C">
              <w:rPr>
                <w:b/>
              </w:rPr>
              <w:t xml:space="preserve">Benefit companies. </w:t>
            </w:r>
            <w:r w:rsidRPr="009B4044">
              <w:t>T</w:t>
            </w:r>
            <w:r w:rsidRPr="00A41D0E">
              <w:t xml:space="preserve">he legislation governing benefit companies came into force on June 30, 2020 with changes to the </w:t>
            </w:r>
            <w:r w:rsidRPr="00F0648C">
              <w:rPr>
                <w:i/>
              </w:rPr>
              <w:t>BCA</w:t>
            </w:r>
            <w:r w:rsidRPr="00A41D0E">
              <w:t>. A benefit company is a for-profit company that conducts business in a sustainable and responsible manner, while promoting one or more public benefits. For more information on benefit companies, see</w:t>
            </w:r>
            <w:r w:rsidR="00320649">
              <w:t xml:space="preserve"> “</w:t>
            </w:r>
            <w:r w:rsidR="00B41882" w:rsidRPr="00B41882">
              <w:t>Incorporating a Benefit Company</w:t>
            </w:r>
            <w:r w:rsidR="009D7403">
              <w:t>”</w:t>
            </w:r>
            <w:r w:rsidR="00B41882">
              <w:t xml:space="preserve"> at </w:t>
            </w:r>
            <w:hyperlink r:id="rId12" w:history="1">
              <w:r w:rsidR="00B41882" w:rsidRPr="00F36409">
                <w:rPr>
                  <w:rStyle w:val="Hyperlink"/>
                </w:rPr>
                <w:t>www2.gov.bc.ca/assets/gov/employment-business-and-economic-development/business-management/permits-licences-and-registration/registries-packages/information_package_for_benefit_company.pdf</w:t>
              </w:r>
            </w:hyperlink>
            <w:r w:rsidR="009D7403">
              <w:t xml:space="preserve"> (PDF)</w:t>
            </w:r>
            <w:r w:rsidR="00A26B80">
              <w:t xml:space="preserve"> </w:t>
            </w:r>
            <w:r w:rsidR="009D7403">
              <w:t>a</w:t>
            </w:r>
            <w:r w:rsidR="00A26B80">
              <w:t xml:space="preserve">nd Part 2.3 of the </w:t>
            </w:r>
            <w:r w:rsidR="00A26B80" w:rsidRPr="00A26B80">
              <w:rPr>
                <w:i/>
              </w:rPr>
              <w:t>BCA</w:t>
            </w:r>
            <w:r w:rsidR="00A26B80">
              <w:t>.</w:t>
            </w:r>
          </w:p>
        </w:tc>
        <w:tc>
          <w:tcPr>
            <w:tcW w:w="450" w:type="dxa"/>
            <w:tcBorders>
              <w:left w:val="single" w:sz="6" w:space="0" w:color="auto"/>
            </w:tcBorders>
          </w:tcPr>
          <w:p w14:paraId="134630BF" w14:textId="77777777" w:rsidR="00CE68AC" w:rsidRPr="00CA6574" w:rsidRDefault="00CE68AC" w:rsidP="00B907EB">
            <w:pPr>
              <w:pStyle w:val="NormalparagraphGN"/>
            </w:pPr>
          </w:p>
        </w:tc>
        <w:tc>
          <w:tcPr>
            <w:tcW w:w="450" w:type="dxa"/>
            <w:tcBorders>
              <w:left w:val="single" w:sz="6" w:space="0" w:color="auto"/>
            </w:tcBorders>
          </w:tcPr>
          <w:p w14:paraId="06C8CCFB" w14:textId="77777777" w:rsidR="00CE68AC" w:rsidRPr="00CA6574" w:rsidRDefault="00CE68AC" w:rsidP="00B907EB">
            <w:pPr>
              <w:pStyle w:val="NormalparagraphGN"/>
            </w:pPr>
          </w:p>
        </w:tc>
        <w:tc>
          <w:tcPr>
            <w:tcW w:w="450" w:type="dxa"/>
            <w:tcBorders>
              <w:left w:val="single" w:sz="6" w:space="0" w:color="auto"/>
            </w:tcBorders>
          </w:tcPr>
          <w:p w14:paraId="606C787F" w14:textId="77777777" w:rsidR="00CE68AC" w:rsidRPr="00CA6574" w:rsidRDefault="00CE68AC" w:rsidP="00B907EB">
            <w:pPr>
              <w:pStyle w:val="NormalparagraphGN"/>
            </w:pPr>
          </w:p>
        </w:tc>
        <w:tc>
          <w:tcPr>
            <w:tcW w:w="1001" w:type="dxa"/>
            <w:tcBorders>
              <w:left w:val="single" w:sz="6" w:space="0" w:color="auto"/>
            </w:tcBorders>
          </w:tcPr>
          <w:p w14:paraId="3C578CA2" w14:textId="77777777" w:rsidR="00CE68AC" w:rsidRPr="00CA6574" w:rsidRDefault="00CE68AC" w:rsidP="00B907EB">
            <w:pPr>
              <w:pStyle w:val="NormalparagraphGN"/>
            </w:pPr>
          </w:p>
        </w:tc>
        <w:tc>
          <w:tcPr>
            <w:tcW w:w="1001" w:type="dxa"/>
            <w:tcBorders>
              <w:left w:val="single" w:sz="6" w:space="0" w:color="auto"/>
            </w:tcBorders>
          </w:tcPr>
          <w:p w14:paraId="05BAFD4B" w14:textId="77777777" w:rsidR="00CE68AC" w:rsidRPr="00CA6574" w:rsidRDefault="00CE68AC" w:rsidP="00B907EB">
            <w:pPr>
              <w:pStyle w:val="NormalparagraphGN"/>
            </w:pPr>
          </w:p>
        </w:tc>
      </w:tr>
      <w:tr w:rsidR="00C47C89" w:rsidRPr="00CA6574" w14:paraId="1D9F4DEA" w14:textId="77777777" w:rsidTr="00EA0518">
        <w:trPr>
          <w:cantSplit/>
          <w:trHeight w:val="1809"/>
        </w:trPr>
        <w:tc>
          <w:tcPr>
            <w:tcW w:w="6948" w:type="dxa"/>
          </w:tcPr>
          <w:p w14:paraId="16951296" w14:textId="72BFEF1F" w:rsidR="00C47C89" w:rsidRPr="00C47C89" w:rsidRDefault="00C47C89" w:rsidP="00C47C89">
            <w:pPr>
              <w:pStyle w:val="NormalparagraphGN"/>
              <w:widowControl w:val="0"/>
              <w:numPr>
                <w:ilvl w:val="0"/>
                <w:numId w:val="23"/>
              </w:numPr>
              <w:spacing w:before="60"/>
            </w:pPr>
            <w:r w:rsidRPr="00793D7D">
              <w:rPr>
                <w:b/>
                <w:i/>
              </w:rPr>
              <w:t>Canada Business Corporations Act</w:t>
            </w:r>
            <w:r w:rsidRPr="00837850">
              <w:rPr>
                <w:b/>
              </w:rPr>
              <w:t>.</w:t>
            </w:r>
            <w:r w:rsidRPr="00351654">
              <w:t xml:space="preserve"> Amendments to the </w:t>
            </w:r>
            <w:r w:rsidRPr="00837850">
              <w:rPr>
                <w:i/>
              </w:rPr>
              <w:t>Canada Business Corporations Act</w:t>
            </w:r>
            <w:r w:rsidRPr="00351654">
              <w:t>, R.S.C. 1985, c. C-44 (“</w:t>
            </w:r>
            <w:r w:rsidRPr="00837850">
              <w:rPr>
                <w:i/>
              </w:rPr>
              <w:t>CBCA</w:t>
            </w:r>
            <w:r w:rsidRPr="00351654">
              <w:t>”)</w:t>
            </w:r>
            <w:r>
              <w:t xml:space="preserve"> </w:t>
            </w:r>
            <w:r w:rsidRPr="00351654">
              <w:t>took effect August 31, 2022</w:t>
            </w:r>
            <w:r>
              <w:t xml:space="preserve"> and</w:t>
            </w:r>
            <w:r w:rsidRPr="00351654">
              <w:t xml:space="preserve"> require distributing corporations (generally only public companies which are governed under the </w:t>
            </w:r>
            <w:r w:rsidRPr="00837850">
              <w:rPr>
                <w:i/>
              </w:rPr>
              <w:t>CBCA</w:t>
            </w:r>
            <w:r w:rsidRPr="00351654">
              <w:t xml:space="preserve">) to comply with new requirements with respect to the election of directors. Note the amendments in s. 106 of the </w:t>
            </w:r>
            <w:r w:rsidRPr="00837850">
              <w:rPr>
                <w:i/>
              </w:rPr>
              <w:t>CBCA</w:t>
            </w:r>
            <w:r w:rsidRPr="00351654">
              <w:t xml:space="preserve"> with respect to “majority voting” and “individual election” requirements. </w:t>
            </w:r>
            <w:r>
              <w:t>I</w:t>
            </w:r>
            <w:r w:rsidRPr="00351654">
              <w:t xml:space="preserve">f a </w:t>
            </w:r>
            <w:r w:rsidRPr="00837850">
              <w:rPr>
                <w:i/>
              </w:rPr>
              <w:t>CBCA</w:t>
            </w:r>
            <w:r w:rsidRPr="00351654">
              <w:t xml:space="preserve"> company is being incorporated, and particularly if it may become a reporting issuer, particular attention should be given to the compan</w:t>
            </w:r>
            <w:r w:rsidRPr="00C47C89">
              <w:t>y’s</w:t>
            </w:r>
            <w:r w:rsidRPr="00351654">
              <w:t xml:space="preserve"> articles with respect to electing and appointing its directors.</w:t>
            </w:r>
            <w:r>
              <w:t xml:space="preserve"> </w:t>
            </w:r>
            <w:r w:rsidRPr="00B33F12">
              <w:t xml:space="preserve">On June 23, 2022 </w:t>
            </w:r>
            <w:r w:rsidRPr="00837850">
              <w:rPr>
                <w:i/>
              </w:rPr>
              <w:t>CBCA</w:t>
            </w:r>
            <w:r w:rsidRPr="00B33F12">
              <w:t xml:space="preserve"> amendments received </w:t>
            </w:r>
            <w:r>
              <w:t>R</w:t>
            </w:r>
            <w:r w:rsidRPr="00B33F12">
              <w:t xml:space="preserve">oyal </w:t>
            </w:r>
            <w:r>
              <w:t>A</w:t>
            </w:r>
            <w:r w:rsidRPr="00B33F12">
              <w:t>ssent</w:t>
            </w:r>
            <w:r>
              <w:t>,</w:t>
            </w:r>
            <w:r w:rsidRPr="00B33F12">
              <w:t xml:space="preserve"> </w:t>
            </w:r>
            <w:r>
              <w:t>r</w:t>
            </w:r>
            <w:r w:rsidRPr="00B33F12">
              <w:t>equir</w:t>
            </w:r>
            <w:r>
              <w:t>ing</w:t>
            </w:r>
            <w:r w:rsidRPr="00B33F12">
              <w:t xml:space="preserve"> private </w:t>
            </w:r>
            <w:r w:rsidRPr="00837850">
              <w:rPr>
                <w:i/>
              </w:rPr>
              <w:t>CBCA</w:t>
            </w:r>
            <w:r w:rsidRPr="00B33F12">
              <w:t xml:space="preserve"> corporations report beneficial ownership information to Corporations Canada on a regular basis. </w:t>
            </w:r>
            <w:r w:rsidRPr="00167156">
              <w:t xml:space="preserve">Bill C-42 now presents a second series of amendments to the </w:t>
            </w:r>
            <w:r w:rsidRPr="00167156">
              <w:rPr>
                <w:i/>
              </w:rPr>
              <w:t>CBCA</w:t>
            </w:r>
            <w:r w:rsidRPr="00167156">
              <w:t>, proposing further corporate transparency and accountability by making certain information public within the individuals with significant control (</w:t>
            </w:r>
            <w:r>
              <w:t>“</w:t>
            </w:r>
            <w:r w:rsidRPr="00167156">
              <w:t>ISC</w:t>
            </w:r>
            <w:r>
              <w:t>”</w:t>
            </w:r>
            <w:r w:rsidRPr="00167156">
              <w:t xml:space="preserve">) register. </w:t>
            </w:r>
            <w:r w:rsidRPr="00A4278A">
              <w:rPr>
                <w:lang w:val="en-CA"/>
              </w:rPr>
              <w:t>Under the proposed amendments, the name, residential address, date of birth, and citizenship of each ISC would require inclusion in the register.</w:t>
            </w:r>
          </w:p>
        </w:tc>
        <w:tc>
          <w:tcPr>
            <w:tcW w:w="450" w:type="dxa"/>
            <w:tcBorders>
              <w:left w:val="single" w:sz="6" w:space="0" w:color="auto"/>
            </w:tcBorders>
          </w:tcPr>
          <w:p w14:paraId="6FF6BC50" w14:textId="77777777" w:rsidR="00C47C89" w:rsidRPr="00CA6574" w:rsidRDefault="00C47C89" w:rsidP="00B907EB">
            <w:pPr>
              <w:pStyle w:val="NormalparagraphGN"/>
            </w:pPr>
          </w:p>
        </w:tc>
        <w:tc>
          <w:tcPr>
            <w:tcW w:w="450" w:type="dxa"/>
            <w:tcBorders>
              <w:left w:val="single" w:sz="6" w:space="0" w:color="auto"/>
            </w:tcBorders>
          </w:tcPr>
          <w:p w14:paraId="67A32F43" w14:textId="77777777" w:rsidR="00C47C89" w:rsidRPr="00CA6574" w:rsidRDefault="00C47C89" w:rsidP="00B907EB">
            <w:pPr>
              <w:pStyle w:val="NormalparagraphGN"/>
            </w:pPr>
          </w:p>
        </w:tc>
        <w:tc>
          <w:tcPr>
            <w:tcW w:w="450" w:type="dxa"/>
            <w:tcBorders>
              <w:left w:val="single" w:sz="6" w:space="0" w:color="auto"/>
            </w:tcBorders>
          </w:tcPr>
          <w:p w14:paraId="7A59143F" w14:textId="77777777" w:rsidR="00C47C89" w:rsidRPr="00CA6574" w:rsidRDefault="00C47C89" w:rsidP="00B907EB">
            <w:pPr>
              <w:pStyle w:val="NormalparagraphGN"/>
            </w:pPr>
          </w:p>
        </w:tc>
        <w:tc>
          <w:tcPr>
            <w:tcW w:w="1001" w:type="dxa"/>
            <w:tcBorders>
              <w:left w:val="single" w:sz="6" w:space="0" w:color="auto"/>
            </w:tcBorders>
          </w:tcPr>
          <w:p w14:paraId="466ABF34" w14:textId="77777777" w:rsidR="00C47C89" w:rsidRPr="00CA6574" w:rsidRDefault="00C47C89" w:rsidP="00B907EB">
            <w:pPr>
              <w:pStyle w:val="NormalparagraphGN"/>
            </w:pPr>
          </w:p>
        </w:tc>
        <w:tc>
          <w:tcPr>
            <w:tcW w:w="1001" w:type="dxa"/>
            <w:tcBorders>
              <w:left w:val="single" w:sz="6" w:space="0" w:color="auto"/>
            </w:tcBorders>
          </w:tcPr>
          <w:p w14:paraId="083613B9" w14:textId="77777777" w:rsidR="00C47C89" w:rsidRPr="00CA6574" w:rsidRDefault="00C47C89" w:rsidP="00B907EB">
            <w:pPr>
              <w:pStyle w:val="NormalparagraphGN"/>
            </w:pPr>
          </w:p>
        </w:tc>
      </w:tr>
      <w:tr w:rsidR="005F1DF9" w:rsidRPr="00CA6574" w14:paraId="640D8140" w14:textId="77777777" w:rsidTr="00EA0518">
        <w:trPr>
          <w:cantSplit/>
          <w:trHeight w:val="1809"/>
        </w:trPr>
        <w:tc>
          <w:tcPr>
            <w:tcW w:w="6948" w:type="dxa"/>
          </w:tcPr>
          <w:p w14:paraId="35624897" w14:textId="7B82D9F9" w:rsidR="005F1DF9" w:rsidRPr="00793D7D" w:rsidRDefault="005F1DF9" w:rsidP="00C47C89">
            <w:pPr>
              <w:pStyle w:val="NormalparagraphGN"/>
              <w:widowControl w:val="0"/>
              <w:numPr>
                <w:ilvl w:val="0"/>
                <w:numId w:val="23"/>
              </w:numPr>
              <w:spacing w:before="60"/>
              <w:rPr>
                <w:b/>
                <w:i/>
              </w:rPr>
            </w:pPr>
            <w:r w:rsidRPr="00F0648C">
              <w:rPr>
                <w:b/>
              </w:rPr>
              <w:t xml:space="preserve">MRAS. </w:t>
            </w:r>
            <w:r w:rsidRPr="009B4044">
              <w:t>T</w:t>
            </w:r>
            <w:r w:rsidRPr="00A41D0E">
              <w:t>he Multi-Jurisdictional Registry Access Service (</w:t>
            </w:r>
            <w:r>
              <w:t xml:space="preserve">the </w:t>
            </w:r>
            <w:r w:rsidRPr="00A41D0E">
              <w:t xml:space="preserve">“MRAS”) was introduced on June 29, 2020. </w:t>
            </w:r>
            <w:r>
              <w:t xml:space="preserve">The </w:t>
            </w:r>
            <w:r w:rsidRPr="00A41D0E">
              <w:t xml:space="preserve">MRAS allows for the sharing of information under the New West Partnership Trade Agreement (the “NWPTA”). </w:t>
            </w:r>
            <w:proofErr w:type="spellStart"/>
            <w:r w:rsidRPr="00A41D0E">
              <w:t>Extraprovincial</w:t>
            </w:r>
            <w:proofErr w:type="spellEnd"/>
            <w:r w:rsidRPr="00A41D0E">
              <w:t xml:space="preserve"> registration (or cancellation </w:t>
            </w:r>
            <w:r>
              <w:t>thereof</w:t>
            </w:r>
            <w:r w:rsidRPr="00A41D0E">
              <w:t>) under the NWPTA is no longer made through the home jurisdiction</w:t>
            </w:r>
            <w:r>
              <w:t>; it</w:t>
            </w:r>
            <w:r w:rsidRPr="00A41D0E">
              <w:t xml:space="preserve"> must now be made through each </w:t>
            </w:r>
            <w:proofErr w:type="spellStart"/>
            <w:r w:rsidRPr="00A41D0E">
              <w:t>extraprovincial</w:t>
            </w:r>
            <w:proofErr w:type="spellEnd"/>
            <w:r w:rsidRPr="00A41D0E">
              <w:t xml:space="preserve"> jurisdiction. For instance, prior to June 29, 2020, when a British Columbia company wanted to be </w:t>
            </w:r>
            <w:proofErr w:type="spellStart"/>
            <w:r w:rsidRPr="00A41D0E">
              <w:t>extraprovincially</w:t>
            </w:r>
            <w:proofErr w:type="spellEnd"/>
            <w:r w:rsidRPr="00A41D0E">
              <w:t xml:space="preserve"> registered in Alberta, the filing was made through BC Online. Now the </w:t>
            </w:r>
            <w:proofErr w:type="spellStart"/>
            <w:r w:rsidRPr="00A41D0E">
              <w:t>extraprovincial</w:t>
            </w:r>
            <w:proofErr w:type="spellEnd"/>
            <w:r w:rsidRPr="00A41D0E">
              <w:t xml:space="preserve"> filing must be made through the Alberta Corporate Registry.</w:t>
            </w:r>
          </w:p>
        </w:tc>
        <w:tc>
          <w:tcPr>
            <w:tcW w:w="450" w:type="dxa"/>
            <w:tcBorders>
              <w:left w:val="single" w:sz="6" w:space="0" w:color="auto"/>
            </w:tcBorders>
          </w:tcPr>
          <w:p w14:paraId="1687A4A5" w14:textId="77777777" w:rsidR="005F1DF9" w:rsidRPr="00CA6574" w:rsidRDefault="005F1DF9" w:rsidP="00B907EB">
            <w:pPr>
              <w:pStyle w:val="NormalparagraphGN"/>
            </w:pPr>
          </w:p>
        </w:tc>
        <w:tc>
          <w:tcPr>
            <w:tcW w:w="450" w:type="dxa"/>
            <w:tcBorders>
              <w:left w:val="single" w:sz="6" w:space="0" w:color="auto"/>
            </w:tcBorders>
          </w:tcPr>
          <w:p w14:paraId="6CC414F9" w14:textId="77777777" w:rsidR="005F1DF9" w:rsidRPr="00CA6574" w:rsidRDefault="005F1DF9" w:rsidP="00B907EB">
            <w:pPr>
              <w:pStyle w:val="NormalparagraphGN"/>
            </w:pPr>
          </w:p>
        </w:tc>
        <w:tc>
          <w:tcPr>
            <w:tcW w:w="450" w:type="dxa"/>
            <w:tcBorders>
              <w:left w:val="single" w:sz="6" w:space="0" w:color="auto"/>
            </w:tcBorders>
          </w:tcPr>
          <w:p w14:paraId="396575CA" w14:textId="77777777" w:rsidR="005F1DF9" w:rsidRPr="00CA6574" w:rsidRDefault="005F1DF9" w:rsidP="00B907EB">
            <w:pPr>
              <w:pStyle w:val="NormalparagraphGN"/>
            </w:pPr>
          </w:p>
        </w:tc>
        <w:tc>
          <w:tcPr>
            <w:tcW w:w="1001" w:type="dxa"/>
            <w:tcBorders>
              <w:left w:val="single" w:sz="6" w:space="0" w:color="auto"/>
            </w:tcBorders>
          </w:tcPr>
          <w:p w14:paraId="04649E6D" w14:textId="77777777" w:rsidR="005F1DF9" w:rsidRPr="00CA6574" w:rsidRDefault="005F1DF9" w:rsidP="00B907EB">
            <w:pPr>
              <w:pStyle w:val="NormalparagraphGN"/>
            </w:pPr>
          </w:p>
        </w:tc>
        <w:tc>
          <w:tcPr>
            <w:tcW w:w="1001" w:type="dxa"/>
            <w:tcBorders>
              <w:left w:val="single" w:sz="6" w:space="0" w:color="auto"/>
            </w:tcBorders>
          </w:tcPr>
          <w:p w14:paraId="231E7F7C" w14:textId="77777777" w:rsidR="005F1DF9" w:rsidRPr="00CA6574" w:rsidRDefault="005F1DF9" w:rsidP="00B907EB">
            <w:pPr>
              <w:pStyle w:val="NormalparagraphGN"/>
            </w:pPr>
          </w:p>
        </w:tc>
      </w:tr>
      <w:tr w:rsidR="005F1DF9" w:rsidRPr="00CA6574" w14:paraId="29164721" w14:textId="77777777" w:rsidTr="005F1DF9">
        <w:trPr>
          <w:cantSplit/>
          <w:trHeight w:val="1431"/>
        </w:trPr>
        <w:tc>
          <w:tcPr>
            <w:tcW w:w="6948" w:type="dxa"/>
          </w:tcPr>
          <w:p w14:paraId="46E22052" w14:textId="0965FE43" w:rsidR="005F1DF9" w:rsidRPr="00F0648C" w:rsidRDefault="005F1DF9" w:rsidP="00C47C89">
            <w:pPr>
              <w:pStyle w:val="NormalparagraphGN"/>
              <w:widowControl w:val="0"/>
              <w:numPr>
                <w:ilvl w:val="0"/>
                <w:numId w:val="23"/>
              </w:numPr>
              <w:spacing w:before="60"/>
              <w:rPr>
                <w:b/>
              </w:rPr>
            </w:pPr>
            <w:r>
              <w:rPr>
                <w:b/>
              </w:rPr>
              <w:t>Manitoba joins NWPTA.</w:t>
            </w:r>
            <w:r w:rsidRPr="006C1F3A">
              <w:t xml:space="preserve"> </w:t>
            </w:r>
            <w:r>
              <w:rPr>
                <w:rFonts w:cstheme="minorHAnsi"/>
                <w:spacing w:val="-2"/>
              </w:rPr>
              <w:t xml:space="preserve">Pursuant to the </w:t>
            </w:r>
            <w:r w:rsidRPr="007C5956">
              <w:rPr>
                <w:rFonts w:cstheme="minorHAnsi"/>
                <w:i/>
              </w:rPr>
              <w:t xml:space="preserve">Trade, Investment and </w:t>
            </w:r>
            <w:proofErr w:type="spellStart"/>
            <w:r w:rsidRPr="007C5956">
              <w:rPr>
                <w:rFonts w:cstheme="minorHAnsi"/>
                <w:i/>
              </w:rPr>
              <w:t>Labour</w:t>
            </w:r>
            <w:proofErr w:type="spellEnd"/>
            <w:r w:rsidRPr="007C5956">
              <w:rPr>
                <w:rFonts w:cstheme="minorHAnsi"/>
                <w:i/>
              </w:rPr>
              <w:t xml:space="preserve"> Mobility Agreement</w:t>
            </w:r>
            <w:r>
              <w:rPr>
                <w:rFonts w:cstheme="minorHAnsi"/>
                <w:i/>
              </w:rPr>
              <w:t xml:space="preserve"> Implementation Act</w:t>
            </w:r>
            <w:r w:rsidRPr="007C5956">
              <w:rPr>
                <w:rFonts w:cstheme="minorHAnsi"/>
                <w:spacing w:val="-2"/>
              </w:rPr>
              <w:t xml:space="preserve">, </w:t>
            </w:r>
            <w:r w:rsidRPr="007C5956">
              <w:rPr>
                <w:rFonts w:cstheme="minorHAnsi"/>
              </w:rPr>
              <w:t>S.B.C. 2008, c. 39 (the “</w:t>
            </w:r>
            <w:r w:rsidRPr="007C5956">
              <w:rPr>
                <w:rFonts w:cstheme="minorHAnsi"/>
                <w:i/>
              </w:rPr>
              <w:t>TILMA Act</w:t>
            </w:r>
            <w:r w:rsidRPr="007C5956">
              <w:rPr>
                <w:rFonts w:cstheme="minorHAnsi"/>
              </w:rPr>
              <w:t xml:space="preserve">”), the </w:t>
            </w:r>
            <w:proofErr w:type="spellStart"/>
            <w:r w:rsidRPr="007C5956">
              <w:rPr>
                <w:rFonts w:cstheme="minorHAnsi"/>
              </w:rPr>
              <w:t>Extraprovincial</w:t>
            </w:r>
            <w:proofErr w:type="spellEnd"/>
            <w:r w:rsidRPr="007C5956">
              <w:rPr>
                <w:rFonts w:cstheme="minorHAnsi"/>
              </w:rPr>
              <w:t xml:space="preserve"> Companies and Foreign Entities from a Designated Province Regulation, B.C. Reg. 88/2009, </w:t>
            </w:r>
            <w:r>
              <w:rPr>
                <w:rFonts w:cstheme="minorHAnsi"/>
              </w:rPr>
              <w:t xml:space="preserve">and by operation of the </w:t>
            </w:r>
            <w:r w:rsidRPr="007C5956">
              <w:rPr>
                <w:rFonts w:cstheme="minorHAnsi"/>
              </w:rPr>
              <w:t>NWPTA</w:t>
            </w:r>
            <w:r>
              <w:rPr>
                <w:rFonts w:cstheme="minorHAnsi"/>
              </w:rPr>
              <w:t>,</w:t>
            </w:r>
            <w:r w:rsidRPr="007C5956">
              <w:rPr>
                <w:rFonts w:cstheme="minorHAnsi"/>
              </w:rPr>
              <w:t xml:space="preserve"> </w:t>
            </w:r>
            <w:r>
              <w:rPr>
                <w:rFonts w:cstheme="minorHAnsi"/>
                <w:lang w:val="en"/>
              </w:rPr>
              <w:t>an enterprise</w:t>
            </w:r>
          </w:p>
        </w:tc>
        <w:tc>
          <w:tcPr>
            <w:tcW w:w="450" w:type="dxa"/>
            <w:tcBorders>
              <w:left w:val="single" w:sz="6" w:space="0" w:color="auto"/>
            </w:tcBorders>
          </w:tcPr>
          <w:p w14:paraId="6BFEC6C6" w14:textId="77777777" w:rsidR="005F1DF9" w:rsidRPr="00CA6574" w:rsidRDefault="005F1DF9" w:rsidP="00B907EB">
            <w:pPr>
              <w:pStyle w:val="NormalparagraphGN"/>
            </w:pPr>
          </w:p>
        </w:tc>
        <w:tc>
          <w:tcPr>
            <w:tcW w:w="450" w:type="dxa"/>
            <w:tcBorders>
              <w:left w:val="single" w:sz="6" w:space="0" w:color="auto"/>
            </w:tcBorders>
          </w:tcPr>
          <w:p w14:paraId="281C83BB" w14:textId="77777777" w:rsidR="005F1DF9" w:rsidRPr="00CA6574" w:rsidRDefault="005F1DF9" w:rsidP="00B907EB">
            <w:pPr>
              <w:pStyle w:val="NormalparagraphGN"/>
            </w:pPr>
          </w:p>
        </w:tc>
        <w:tc>
          <w:tcPr>
            <w:tcW w:w="450" w:type="dxa"/>
            <w:tcBorders>
              <w:left w:val="single" w:sz="6" w:space="0" w:color="auto"/>
            </w:tcBorders>
          </w:tcPr>
          <w:p w14:paraId="68F662B1" w14:textId="77777777" w:rsidR="005F1DF9" w:rsidRPr="00CA6574" w:rsidRDefault="005F1DF9" w:rsidP="00B907EB">
            <w:pPr>
              <w:pStyle w:val="NormalparagraphGN"/>
            </w:pPr>
          </w:p>
        </w:tc>
        <w:tc>
          <w:tcPr>
            <w:tcW w:w="1001" w:type="dxa"/>
            <w:tcBorders>
              <w:left w:val="single" w:sz="6" w:space="0" w:color="auto"/>
            </w:tcBorders>
          </w:tcPr>
          <w:p w14:paraId="4F34FE43" w14:textId="77777777" w:rsidR="005F1DF9" w:rsidRPr="00CA6574" w:rsidRDefault="005F1DF9" w:rsidP="00B907EB">
            <w:pPr>
              <w:pStyle w:val="NormalparagraphGN"/>
            </w:pPr>
          </w:p>
        </w:tc>
        <w:tc>
          <w:tcPr>
            <w:tcW w:w="1001" w:type="dxa"/>
            <w:tcBorders>
              <w:left w:val="single" w:sz="6" w:space="0" w:color="auto"/>
            </w:tcBorders>
          </w:tcPr>
          <w:p w14:paraId="3F0B21A3" w14:textId="77777777" w:rsidR="005F1DF9" w:rsidRPr="00CA6574" w:rsidRDefault="005F1DF9" w:rsidP="00B907EB">
            <w:pPr>
              <w:pStyle w:val="NormalparagraphGN"/>
            </w:pPr>
          </w:p>
        </w:tc>
      </w:tr>
      <w:tr w:rsidR="00320649" w:rsidRPr="00CA6574" w14:paraId="31EED733" w14:textId="77777777" w:rsidTr="00EA0518">
        <w:trPr>
          <w:cantSplit/>
          <w:trHeight w:val="1809"/>
        </w:trPr>
        <w:tc>
          <w:tcPr>
            <w:tcW w:w="6948" w:type="dxa"/>
          </w:tcPr>
          <w:p w14:paraId="3DE80B61" w14:textId="4F8A5830" w:rsidR="006668A3" w:rsidRPr="00A4278A" w:rsidRDefault="00A4278A" w:rsidP="005F1DF9">
            <w:pPr>
              <w:pStyle w:val="NormalparagraphGN"/>
              <w:ind w:left="360"/>
              <w:rPr>
                <w:b/>
              </w:rPr>
            </w:pPr>
            <w:r>
              <w:rPr>
                <w:rFonts w:cstheme="minorHAnsi"/>
                <w:lang w:val="en"/>
              </w:rPr>
              <w:lastRenderedPageBreak/>
              <w:t>meeting the requirements of any of the provinces of</w:t>
            </w:r>
            <w:r w:rsidRPr="007C5956">
              <w:rPr>
                <w:rFonts w:cstheme="minorHAnsi"/>
                <w:lang w:val="en"/>
              </w:rPr>
              <w:t xml:space="preserve"> British Columbia, Alberta, Saskatchewan, and Manitoba</w:t>
            </w:r>
            <w:r>
              <w:rPr>
                <w:rFonts w:cstheme="minorHAnsi"/>
                <w:lang w:val="en"/>
              </w:rPr>
              <w:t xml:space="preserve"> are deemed to meet the requirements of the other participating provinces. This eliminates </w:t>
            </w:r>
            <w:r w:rsidRPr="007C5956">
              <w:rPr>
                <w:rFonts w:cstheme="minorHAnsi"/>
                <w:lang w:val="en"/>
              </w:rPr>
              <w:t xml:space="preserve">the requirement </w:t>
            </w:r>
            <w:r>
              <w:rPr>
                <w:rFonts w:cstheme="minorHAnsi"/>
                <w:lang w:val="en"/>
              </w:rPr>
              <w:t>by</w:t>
            </w:r>
            <w:r w:rsidRPr="007C5956">
              <w:rPr>
                <w:rFonts w:cstheme="minorHAnsi"/>
                <w:lang w:val="en"/>
              </w:rPr>
              <w:t xml:space="preserve"> </w:t>
            </w:r>
            <w:r w:rsidRPr="007C5956">
              <w:rPr>
                <w:rFonts w:cstheme="minorHAnsi"/>
              </w:rPr>
              <w:t xml:space="preserve">British Columbia companies </w:t>
            </w:r>
            <w:proofErr w:type="spellStart"/>
            <w:r w:rsidRPr="007C5956">
              <w:rPr>
                <w:rFonts w:cstheme="minorHAnsi"/>
              </w:rPr>
              <w:t>extraprovincially</w:t>
            </w:r>
            <w:proofErr w:type="spellEnd"/>
            <w:r w:rsidRPr="007C5956">
              <w:rPr>
                <w:rFonts w:cstheme="minorHAnsi"/>
              </w:rPr>
              <w:t xml:space="preserve"> registered in those provinces to make separate filings there for annual returns or changes of directors </w:t>
            </w:r>
            <w:r w:rsidRPr="007C5956">
              <w:rPr>
                <w:rFonts w:cstheme="minorHAnsi"/>
                <w:lang w:val="en"/>
              </w:rPr>
              <w:t xml:space="preserve">(it does not eliminate the need for </w:t>
            </w:r>
            <w:proofErr w:type="spellStart"/>
            <w:r w:rsidRPr="007C5956">
              <w:rPr>
                <w:rFonts w:cstheme="minorHAnsi"/>
                <w:lang w:val="en"/>
              </w:rPr>
              <w:t>extraprovincial</w:t>
            </w:r>
            <w:proofErr w:type="spellEnd"/>
            <w:r w:rsidRPr="007C5956">
              <w:rPr>
                <w:rFonts w:cstheme="minorHAnsi"/>
                <w:lang w:val="en"/>
              </w:rPr>
              <w:t xml:space="preserve"> registration)</w:t>
            </w:r>
            <w:r>
              <w:rPr>
                <w:lang w:val="en"/>
              </w:rPr>
              <w:t xml:space="preserve">. </w:t>
            </w:r>
            <w:r w:rsidR="006668A3" w:rsidRPr="00D13809">
              <w:rPr>
                <w:lang w:val="en"/>
              </w:rPr>
              <w:t>For information about corporate registry procedures pursuant to the NWPTA</w:t>
            </w:r>
            <w:r w:rsidR="006668A3" w:rsidRPr="006C1F3A">
              <w:rPr>
                <w:lang w:val="en"/>
              </w:rPr>
              <w:t>, visit the NWPTA page on the Corporate Registry website at</w:t>
            </w:r>
            <w:r w:rsidR="006668A3">
              <w:t xml:space="preserve"> </w:t>
            </w:r>
            <w:hyperlink r:id="rId13" w:history="1">
              <w:r w:rsidR="006668A3" w:rsidRPr="002D72CE">
                <w:rPr>
                  <w:rStyle w:val="Hyperlink"/>
                </w:rPr>
                <w:t>www.bcregistryservices.gov.bc.ca</w:t>
              </w:r>
            </w:hyperlink>
            <w:r w:rsidR="006668A3">
              <w:t>.</w:t>
            </w:r>
          </w:p>
          <w:p w14:paraId="2B8A91A5" w14:textId="26E14B02" w:rsidR="00A4278A" w:rsidRPr="00C47C89" w:rsidRDefault="00A4278A" w:rsidP="00C47C89">
            <w:pPr>
              <w:pStyle w:val="NormalparagraphGN"/>
              <w:widowControl w:val="0"/>
              <w:numPr>
                <w:ilvl w:val="0"/>
                <w:numId w:val="23"/>
              </w:numPr>
              <w:spacing w:before="120"/>
            </w:pPr>
            <w:r w:rsidRPr="00E04C38">
              <w:rPr>
                <w:b/>
                <w:i/>
              </w:rPr>
              <w:t>Competition Act</w:t>
            </w:r>
            <w:r>
              <w:t xml:space="preserve">. Amendments to the </w:t>
            </w:r>
            <w:r w:rsidRPr="003C05CC">
              <w:rPr>
                <w:i/>
              </w:rPr>
              <w:t>Competition Act</w:t>
            </w:r>
            <w:r>
              <w:t xml:space="preserve">, </w:t>
            </w:r>
            <w:r w:rsidRPr="00CA6574">
              <w:t>R.S.C. 1985, c. C-34</w:t>
            </w:r>
            <w:r>
              <w:t>, effective June 23, 2023</w:t>
            </w:r>
            <w:r w:rsidR="00360707">
              <w:t>,</w:t>
            </w:r>
            <w:r>
              <w:t xml:space="preserve"> include provisions prohibiting agreements for mutual conduct to not hire or solicit each other’s employees.</w:t>
            </w:r>
          </w:p>
        </w:tc>
        <w:tc>
          <w:tcPr>
            <w:tcW w:w="450" w:type="dxa"/>
            <w:tcBorders>
              <w:left w:val="single" w:sz="6" w:space="0" w:color="auto"/>
            </w:tcBorders>
          </w:tcPr>
          <w:p w14:paraId="7E024379" w14:textId="77777777" w:rsidR="00320649" w:rsidRPr="00CA6574" w:rsidRDefault="00320649" w:rsidP="00B907EB">
            <w:pPr>
              <w:pStyle w:val="NormalparagraphGN"/>
            </w:pPr>
          </w:p>
        </w:tc>
        <w:tc>
          <w:tcPr>
            <w:tcW w:w="450" w:type="dxa"/>
            <w:tcBorders>
              <w:left w:val="single" w:sz="6" w:space="0" w:color="auto"/>
            </w:tcBorders>
          </w:tcPr>
          <w:p w14:paraId="37E385AC" w14:textId="77777777" w:rsidR="00320649" w:rsidRPr="00CA6574" w:rsidRDefault="00320649" w:rsidP="00B907EB">
            <w:pPr>
              <w:pStyle w:val="NormalparagraphGN"/>
            </w:pPr>
          </w:p>
        </w:tc>
        <w:tc>
          <w:tcPr>
            <w:tcW w:w="450" w:type="dxa"/>
            <w:tcBorders>
              <w:left w:val="single" w:sz="6" w:space="0" w:color="auto"/>
            </w:tcBorders>
          </w:tcPr>
          <w:p w14:paraId="2E8BF61F" w14:textId="77777777" w:rsidR="00320649" w:rsidRPr="00CA6574" w:rsidRDefault="00320649" w:rsidP="00B907EB">
            <w:pPr>
              <w:pStyle w:val="NormalparagraphGN"/>
            </w:pPr>
          </w:p>
        </w:tc>
        <w:tc>
          <w:tcPr>
            <w:tcW w:w="1001" w:type="dxa"/>
            <w:tcBorders>
              <w:left w:val="single" w:sz="6" w:space="0" w:color="auto"/>
            </w:tcBorders>
          </w:tcPr>
          <w:p w14:paraId="4A6DC68C" w14:textId="77777777" w:rsidR="00320649" w:rsidRPr="00CA6574" w:rsidRDefault="00320649" w:rsidP="00B907EB">
            <w:pPr>
              <w:pStyle w:val="NormalparagraphGN"/>
            </w:pPr>
          </w:p>
        </w:tc>
        <w:tc>
          <w:tcPr>
            <w:tcW w:w="1001" w:type="dxa"/>
            <w:tcBorders>
              <w:left w:val="single" w:sz="6" w:space="0" w:color="auto"/>
            </w:tcBorders>
          </w:tcPr>
          <w:p w14:paraId="7066C70B" w14:textId="77777777" w:rsidR="00320649" w:rsidRPr="00CA6574" w:rsidRDefault="00320649" w:rsidP="00B907EB">
            <w:pPr>
              <w:pStyle w:val="NormalparagraphGN"/>
            </w:pPr>
          </w:p>
        </w:tc>
      </w:tr>
      <w:tr w:rsidR="00991E2E" w:rsidRPr="00CA6574" w14:paraId="65DE778B" w14:textId="77777777" w:rsidTr="00F963DD">
        <w:trPr>
          <w:cantSplit/>
          <w:trHeight w:val="90"/>
        </w:trPr>
        <w:tc>
          <w:tcPr>
            <w:tcW w:w="6948" w:type="dxa"/>
          </w:tcPr>
          <w:p w14:paraId="3720C551" w14:textId="77777777" w:rsidR="00991E2E" w:rsidRPr="00B47038" w:rsidRDefault="00991E2E" w:rsidP="00B907EB">
            <w:pPr>
              <w:pStyle w:val="NormalparagraphGN"/>
              <w:widowControl w:val="0"/>
              <w:spacing w:before="120"/>
              <w:rPr>
                <w:b/>
                <w:bCs/>
              </w:rPr>
            </w:pPr>
            <w:r w:rsidRPr="00CA6574">
              <w:rPr>
                <w:b/>
                <w:bCs/>
              </w:rPr>
              <w:t>Of note:</w:t>
            </w:r>
          </w:p>
        </w:tc>
        <w:tc>
          <w:tcPr>
            <w:tcW w:w="450" w:type="dxa"/>
            <w:tcBorders>
              <w:left w:val="single" w:sz="6" w:space="0" w:color="auto"/>
            </w:tcBorders>
          </w:tcPr>
          <w:p w14:paraId="7F3E802D" w14:textId="77777777" w:rsidR="00991E2E" w:rsidRPr="00CA6574" w:rsidRDefault="00991E2E" w:rsidP="00F963DD">
            <w:pPr>
              <w:pStyle w:val="unformattedtext"/>
              <w:spacing w:after="60"/>
              <w:jc w:val="center"/>
            </w:pPr>
          </w:p>
        </w:tc>
        <w:tc>
          <w:tcPr>
            <w:tcW w:w="450" w:type="dxa"/>
            <w:tcBorders>
              <w:left w:val="single" w:sz="6" w:space="0" w:color="auto"/>
            </w:tcBorders>
          </w:tcPr>
          <w:p w14:paraId="1BC830B1" w14:textId="77777777" w:rsidR="00991E2E" w:rsidRPr="00CA6574" w:rsidRDefault="00991E2E" w:rsidP="00F963DD">
            <w:pPr>
              <w:pStyle w:val="unformattedtext"/>
              <w:spacing w:after="60"/>
              <w:jc w:val="center"/>
            </w:pPr>
          </w:p>
        </w:tc>
        <w:tc>
          <w:tcPr>
            <w:tcW w:w="450" w:type="dxa"/>
            <w:tcBorders>
              <w:left w:val="single" w:sz="6" w:space="0" w:color="auto"/>
            </w:tcBorders>
          </w:tcPr>
          <w:p w14:paraId="6A00B0D1" w14:textId="77777777" w:rsidR="00991E2E" w:rsidRPr="00CA6574" w:rsidRDefault="00991E2E" w:rsidP="00F963DD">
            <w:pPr>
              <w:pStyle w:val="unformattedtext"/>
              <w:spacing w:after="60"/>
              <w:jc w:val="center"/>
            </w:pPr>
          </w:p>
        </w:tc>
        <w:tc>
          <w:tcPr>
            <w:tcW w:w="1001" w:type="dxa"/>
            <w:tcBorders>
              <w:left w:val="single" w:sz="6" w:space="0" w:color="auto"/>
            </w:tcBorders>
          </w:tcPr>
          <w:p w14:paraId="378C3CCF" w14:textId="77777777" w:rsidR="00991E2E" w:rsidRPr="00CA6574" w:rsidRDefault="00991E2E" w:rsidP="00F963DD">
            <w:pPr>
              <w:pStyle w:val="unformattedtext"/>
              <w:spacing w:after="60"/>
              <w:jc w:val="center"/>
            </w:pPr>
          </w:p>
        </w:tc>
        <w:tc>
          <w:tcPr>
            <w:tcW w:w="1001" w:type="dxa"/>
            <w:tcBorders>
              <w:left w:val="single" w:sz="6" w:space="0" w:color="auto"/>
            </w:tcBorders>
          </w:tcPr>
          <w:p w14:paraId="1A05A6D8" w14:textId="77777777" w:rsidR="00991E2E" w:rsidRPr="00CA6574" w:rsidRDefault="00991E2E" w:rsidP="00F963DD">
            <w:pPr>
              <w:pStyle w:val="unformattedtext"/>
              <w:spacing w:after="60"/>
              <w:jc w:val="center"/>
            </w:pPr>
          </w:p>
        </w:tc>
      </w:tr>
      <w:tr w:rsidR="00C47C89" w:rsidRPr="00CA6574" w14:paraId="5C56705C" w14:textId="77777777" w:rsidTr="00837850">
        <w:trPr>
          <w:cantSplit/>
          <w:trHeight w:val="1917"/>
        </w:trPr>
        <w:tc>
          <w:tcPr>
            <w:tcW w:w="6948" w:type="dxa"/>
          </w:tcPr>
          <w:p w14:paraId="0969B91E" w14:textId="6EB76C15" w:rsidR="00C47C89" w:rsidRPr="00C47C89" w:rsidRDefault="00C47C89" w:rsidP="00C47C89">
            <w:pPr>
              <w:pStyle w:val="NormalparagraphGN"/>
              <w:widowControl w:val="0"/>
              <w:numPr>
                <w:ilvl w:val="0"/>
                <w:numId w:val="28"/>
              </w:numPr>
              <w:spacing w:before="120"/>
              <w:rPr>
                <w:b/>
                <w:bCs/>
              </w:rPr>
            </w:pPr>
            <w:r w:rsidRPr="00CA6574">
              <w:rPr>
                <w:b/>
                <w:bCs/>
              </w:rPr>
              <w:t>Aboriginal law.</w:t>
            </w:r>
            <w:r w:rsidRPr="00CA6574">
              <w:t xml:space="preserve"> </w:t>
            </w:r>
            <w:bookmarkStart w:id="0" w:name="_Hlk146261271"/>
            <w:r w:rsidRPr="00CA6574">
              <w:t>Special considerations apply to businesses involving</w:t>
            </w:r>
            <w:r>
              <w:t xml:space="preserve"> Indigenous persons and lands belonging to First Nations. </w:t>
            </w:r>
            <w:r w:rsidRPr="00CA6574">
              <w:t xml:space="preserve">While significant tax and other advantages may be available under the </w:t>
            </w:r>
            <w:r w:rsidRPr="00CA6574">
              <w:rPr>
                <w:i/>
              </w:rPr>
              <w:t>Indian Act</w:t>
            </w:r>
            <w:r w:rsidRPr="00CA6574">
              <w:t>,</w:t>
            </w:r>
            <w:r>
              <w:t xml:space="preserve"> </w:t>
            </w:r>
            <w:r w:rsidRPr="00CA6574">
              <w:t>R.S.C. 1985, c. I-5</w:t>
            </w:r>
            <w:r>
              <w:t>, such advantages are affe</w:t>
            </w:r>
            <w:r w:rsidRPr="00CA6574">
              <w:t xml:space="preserve">cted by the </w:t>
            </w:r>
            <w:r>
              <w:t xml:space="preserve">following: the </w:t>
            </w:r>
            <w:r w:rsidRPr="00CA6574">
              <w:t>type of business</w:t>
            </w:r>
            <w:r>
              <w:t>;</w:t>
            </w:r>
            <w:r w:rsidRPr="00CA6574">
              <w:t xml:space="preserve"> transaction nature</w:t>
            </w:r>
            <w:r>
              <w:t>;</w:t>
            </w:r>
            <w:r w:rsidRPr="00CA6574">
              <w:t xml:space="preserve"> business entity (sole proprietorship, partnership, joint venture, trust, or incorporated company)</w:t>
            </w:r>
            <w:r>
              <w:t>;</w:t>
            </w:r>
            <w:r w:rsidRPr="00CA6574">
              <w:t xml:space="preserve"> location of business</w:t>
            </w:r>
            <w:r w:rsidRPr="00CA6574">
              <w:rPr>
                <w:spacing w:val="-2"/>
              </w:rPr>
              <w:t xml:space="preserve"> activity </w:t>
            </w:r>
            <w:r>
              <w:rPr>
                <w:spacing w:val="-2"/>
              </w:rPr>
              <w:t xml:space="preserve">(either </w:t>
            </w:r>
            <w:r w:rsidRPr="00CA6574">
              <w:rPr>
                <w:spacing w:val="-2"/>
              </w:rPr>
              <w:t xml:space="preserve">on or off </w:t>
            </w:r>
            <w:r>
              <w:t xml:space="preserve">First Nations </w:t>
            </w:r>
            <w:r w:rsidRPr="00CA6574">
              <w:rPr>
                <w:spacing w:val="-2"/>
              </w:rPr>
              <w:t>land</w:t>
            </w:r>
            <w:r>
              <w:rPr>
                <w:spacing w:val="-2"/>
              </w:rPr>
              <w:t>s);</w:t>
            </w:r>
            <w:r w:rsidRPr="00CA6574">
              <w:rPr>
                <w:spacing w:val="-2"/>
              </w:rPr>
              <w:t xml:space="preserve"> and the specific </w:t>
            </w:r>
            <w:r>
              <w:t>First Nation</w:t>
            </w:r>
            <w:r w:rsidRPr="00CA6574">
              <w:rPr>
                <w:spacing w:val="-2"/>
              </w:rPr>
              <w:t xml:space="preserve"> and its </w:t>
            </w:r>
            <w:r>
              <w:rPr>
                <w:spacing w:val="-2"/>
              </w:rPr>
              <w:t xml:space="preserve">applicable </w:t>
            </w:r>
            <w:r w:rsidRPr="00CA6574">
              <w:rPr>
                <w:spacing w:val="-2"/>
              </w:rPr>
              <w:t>governance.</w:t>
            </w:r>
            <w:r>
              <w:rPr>
                <w:spacing w:val="-2"/>
              </w:rPr>
              <w:t xml:space="preserve"> </w:t>
            </w:r>
            <w:bookmarkEnd w:id="0"/>
            <w:r w:rsidRPr="00BB64C5">
              <w:t xml:space="preserve">Effective May 11, 2023, the </w:t>
            </w:r>
            <w:r w:rsidRPr="00BB64C5">
              <w:rPr>
                <w:i/>
              </w:rPr>
              <w:t xml:space="preserve">Budget </w:t>
            </w:r>
            <w:r>
              <w:rPr>
                <w:i/>
              </w:rPr>
              <w:t xml:space="preserve">Measures </w:t>
            </w:r>
            <w:r w:rsidRPr="00BB64C5">
              <w:rPr>
                <w:i/>
              </w:rPr>
              <w:t>Implementation Act</w:t>
            </w:r>
            <w:r w:rsidRPr="001C5A57">
              <w:rPr>
                <w:i/>
              </w:rPr>
              <w:t>, 2023</w:t>
            </w:r>
            <w:r w:rsidRPr="00BB64C5">
              <w:t xml:space="preserve"> came into force, amending the </w:t>
            </w:r>
            <w:r w:rsidRPr="00BB64C5">
              <w:rPr>
                <w:i/>
              </w:rPr>
              <w:t>Treaty First Nation Taxation Act</w:t>
            </w:r>
            <w:r w:rsidRPr="00BB64C5">
              <w:t xml:space="preserve">, S.B.C 2007, c. 38, and the </w:t>
            </w:r>
            <w:r w:rsidRPr="00BB64C5">
              <w:rPr>
                <w:i/>
              </w:rPr>
              <w:t>Nis</w:t>
            </w:r>
            <w:r w:rsidRPr="00D67A5C">
              <w:rPr>
                <w:i/>
                <w:u w:val="single"/>
              </w:rPr>
              <w:t>g</w:t>
            </w:r>
            <w:r w:rsidRPr="00BB64C5">
              <w:rPr>
                <w:i/>
              </w:rPr>
              <w:t>a’a Final Agreement Act</w:t>
            </w:r>
            <w:r w:rsidRPr="00BB64C5">
              <w:t>, S.B.C. 1999, c. 2</w:t>
            </w:r>
            <w:r>
              <w:t xml:space="preserve">. These legislative amendments </w:t>
            </w:r>
            <w:r w:rsidRPr="00BB64C5">
              <w:t>allow taxing treaty First Nations and the Nis</w:t>
            </w:r>
            <w:r w:rsidRPr="00D67A5C">
              <w:rPr>
                <w:u w:val="single"/>
              </w:rPr>
              <w:t>g</w:t>
            </w:r>
            <w:r w:rsidRPr="00BB64C5">
              <w:t xml:space="preserve">a’a nation, respectively, to implement tax exemptions for property on their lands. </w:t>
            </w:r>
            <w:r>
              <w:t xml:space="preserve">If the </w:t>
            </w:r>
            <w:r>
              <w:rPr>
                <w:bCs/>
              </w:rPr>
              <w:t xml:space="preserve">transaction </w:t>
            </w:r>
            <w:r w:rsidRPr="00BC30E6">
              <w:rPr>
                <w:bCs/>
              </w:rPr>
              <w:t>involves First Nation</w:t>
            </w:r>
            <w:r>
              <w:rPr>
                <w:bCs/>
              </w:rPr>
              <w:t>s</w:t>
            </w:r>
            <w:r w:rsidRPr="00BC30E6">
              <w:rPr>
                <w:bCs/>
              </w:rPr>
              <w:t xml:space="preserve"> land, consider </w:t>
            </w:r>
            <w:r w:rsidRPr="002435DF">
              <w:rPr>
                <w:bCs/>
              </w:rPr>
              <w:t>seeking the advice of a la</w:t>
            </w:r>
            <w:r w:rsidRPr="00E91E07">
              <w:rPr>
                <w:bCs/>
              </w:rPr>
              <w:t>wyer who has experience in Aboriginal law matters. Further info</w:t>
            </w:r>
            <w:r w:rsidRPr="001C5228">
              <w:rPr>
                <w:bCs/>
              </w:rPr>
              <w:t>rmation on Aboriginal law issues is available on the “Aboriginal Law” page on the “Practice Areas” se</w:t>
            </w:r>
            <w:r w:rsidRPr="008955D4">
              <w:rPr>
                <w:bCs/>
              </w:rPr>
              <w:t>c</w:t>
            </w:r>
            <w:r w:rsidRPr="00BC30E6">
              <w:rPr>
                <w:bCs/>
              </w:rPr>
              <w:t>tion of the Continuing Legal Education Society of British Columbia website (</w:t>
            </w:r>
            <w:hyperlink r:id="rId14" w:history="1">
              <w:r w:rsidRPr="001E7580">
                <w:rPr>
                  <w:rStyle w:val="Hyperlink"/>
                  <w:bCs/>
                </w:rPr>
                <w:t>www.cle.bc.ca</w:t>
              </w:r>
            </w:hyperlink>
            <w:r w:rsidRPr="00BC30E6">
              <w:rPr>
                <w:bCs/>
              </w:rPr>
              <w:t>) and in other CLEBC public</w:t>
            </w:r>
            <w:r w:rsidRPr="002435DF">
              <w:rPr>
                <w:bCs/>
              </w:rPr>
              <w:t>a</w:t>
            </w:r>
            <w:r w:rsidRPr="00E91E07">
              <w:rPr>
                <w:bCs/>
              </w:rPr>
              <w:t>tions.</w:t>
            </w:r>
            <w:r>
              <w:rPr>
                <w:bCs/>
              </w:rPr>
              <w:t xml:space="preserve"> See also </w:t>
            </w:r>
            <w:r w:rsidRPr="0021164B">
              <w:rPr>
                <w:i/>
              </w:rPr>
              <w:t xml:space="preserve">Negotiating </w:t>
            </w:r>
            <w:r>
              <w:rPr>
                <w:i/>
              </w:rPr>
              <w:t>&amp;</w:t>
            </w:r>
            <w:r w:rsidRPr="0021164B">
              <w:rPr>
                <w:i/>
              </w:rPr>
              <w:t xml:space="preserve"> Structuring Business Transactions with First Nations</w:t>
            </w:r>
            <w:r>
              <w:rPr>
                <w:i/>
              </w:rPr>
              <w:t xml:space="preserve"> 2011</w:t>
            </w:r>
            <w:r w:rsidRPr="0021164B">
              <w:rPr>
                <w:rFonts w:ascii="Verdana" w:hAnsi="Verdana"/>
                <w:color w:val="000000"/>
              </w:rPr>
              <w:t xml:space="preserve"> </w:t>
            </w:r>
            <w:r w:rsidRPr="0021164B">
              <w:t>(CLEBC, 2011)</w:t>
            </w:r>
            <w:r>
              <w:t>.</w:t>
            </w:r>
          </w:p>
        </w:tc>
        <w:tc>
          <w:tcPr>
            <w:tcW w:w="450" w:type="dxa"/>
            <w:tcBorders>
              <w:left w:val="single" w:sz="6" w:space="0" w:color="auto"/>
            </w:tcBorders>
          </w:tcPr>
          <w:p w14:paraId="37EF594A" w14:textId="77777777" w:rsidR="00C47C89" w:rsidRPr="00CA6574" w:rsidRDefault="00C47C89" w:rsidP="00F963DD">
            <w:pPr>
              <w:pStyle w:val="unformattedtext"/>
              <w:spacing w:after="60"/>
              <w:jc w:val="center"/>
            </w:pPr>
          </w:p>
        </w:tc>
        <w:tc>
          <w:tcPr>
            <w:tcW w:w="450" w:type="dxa"/>
            <w:tcBorders>
              <w:left w:val="single" w:sz="6" w:space="0" w:color="auto"/>
            </w:tcBorders>
          </w:tcPr>
          <w:p w14:paraId="744137DB" w14:textId="77777777" w:rsidR="00C47C89" w:rsidRPr="00CA6574" w:rsidRDefault="00C47C89" w:rsidP="00F963DD">
            <w:pPr>
              <w:pStyle w:val="unformattedtext"/>
              <w:spacing w:after="60"/>
              <w:jc w:val="center"/>
            </w:pPr>
          </w:p>
        </w:tc>
        <w:tc>
          <w:tcPr>
            <w:tcW w:w="450" w:type="dxa"/>
            <w:tcBorders>
              <w:left w:val="single" w:sz="6" w:space="0" w:color="auto"/>
            </w:tcBorders>
          </w:tcPr>
          <w:p w14:paraId="0508D3CF" w14:textId="77777777" w:rsidR="00C47C89" w:rsidRPr="00CA6574" w:rsidRDefault="00C47C89" w:rsidP="00F963DD">
            <w:pPr>
              <w:pStyle w:val="unformattedtext"/>
              <w:spacing w:after="60"/>
              <w:jc w:val="center"/>
            </w:pPr>
          </w:p>
        </w:tc>
        <w:tc>
          <w:tcPr>
            <w:tcW w:w="1001" w:type="dxa"/>
            <w:tcBorders>
              <w:left w:val="single" w:sz="6" w:space="0" w:color="auto"/>
            </w:tcBorders>
          </w:tcPr>
          <w:p w14:paraId="3EB25A6E" w14:textId="77777777" w:rsidR="00C47C89" w:rsidRPr="00CA6574" w:rsidRDefault="00C47C89" w:rsidP="00F963DD">
            <w:pPr>
              <w:pStyle w:val="unformattedtext"/>
              <w:spacing w:after="60"/>
              <w:jc w:val="center"/>
            </w:pPr>
          </w:p>
        </w:tc>
        <w:tc>
          <w:tcPr>
            <w:tcW w:w="1001" w:type="dxa"/>
            <w:tcBorders>
              <w:left w:val="single" w:sz="6" w:space="0" w:color="auto"/>
            </w:tcBorders>
          </w:tcPr>
          <w:p w14:paraId="5B440A92" w14:textId="77777777" w:rsidR="00C47C89" w:rsidRPr="00CA6574" w:rsidRDefault="00C47C89" w:rsidP="00F963DD">
            <w:pPr>
              <w:pStyle w:val="unformattedtext"/>
              <w:spacing w:after="60"/>
              <w:jc w:val="center"/>
            </w:pPr>
          </w:p>
        </w:tc>
      </w:tr>
      <w:tr w:rsidR="009A7B3D" w:rsidRPr="00CA6574" w14:paraId="6F5FD13C" w14:textId="77777777" w:rsidTr="00837850">
        <w:trPr>
          <w:cantSplit/>
          <w:trHeight w:val="1917"/>
        </w:trPr>
        <w:tc>
          <w:tcPr>
            <w:tcW w:w="6948" w:type="dxa"/>
          </w:tcPr>
          <w:p w14:paraId="229D0FDA" w14:textId="0A28FE50" w:rsidR="009A7B3D" w:rsidRPr="00CA6574" w:rsidRDefault="009A7B3D" w:rsidP="00101CCF">
            <w:pPr>
              <w:pStyle w:val="NormalparagraphGN"/>
              <w:widowControl w:val="0"/>
              <w:numPr>
                <w:ilvl w:val="0"/>
                <w:numId w:val="28"/>
              </w:numPr>
              <w:spacing w:before="120"/>
              <w:rPr>
                <w:b/>
                <w:bCs/>
              </w:rPr>
            </w:pPr>
            <w:r w:rsidRPr="00320649">
              <w:rPr>
                <w:b/>
              </w:rPr>
              <w:t>Money laundering</w:t>
            </w:r>
            <w:r w:rsidR="00896C4C" w:rsidRPr="00320649">
              <w:rPr>
                <w:b/>
              </w:rPr>
              <w:t>—</w:t>
            </w:r>
            <w:r w:rsidRPr="00320649">
              <w:rPr>
                <w:b/>
              </w:rPr>
              <w:t>companies, trusts and other entities.</w:t>
            </w:r>
            <w:r w:rsidRPr="00320649">
              <w:t xml:space="preserve"> </w:t>
            </w:r>
            <w:r w:rsidR="00FA5C9F" w:rsidRPr="00320649">
              <w:t xml:space="preserve">The prevalence of money laundering in British Columbia (particularly in the area of real estate) continues to be a concern. </w:t>
            </w:r>
            <w:r w:rsidR="00B51FF6" w:rsidRPr="00B51FF6">
              <w:t xml:space="preserve">The provincial government established the Commission of Inquiry into Money Laundering in British Columbia, which was led by Austin Cullen J. as the commissioner. </w:t>
            </w:r>
            <w:r w:rsidR="00B51FF6" w:rsidRPr="00B51FF6">
              <w:rPr>
                <w:lang w:val="en-CA"/>
              </w:rPr>
              <w:t xml:space="preserve">The Cullen Commission’s final report was publicly released on June 15, 2022. </w:t>
            </w:r>
            <w:r w:rsidR="00E042E6" w:rsidRPr="00B834E3">
              <w:t>Fo</w:t>
            </w:r>
            <w:r w:rsidR="00E042E6" w:rsidRPr="00E042E6">
              <w:t xml:space="preserve">r more information on the Cullen Commission, and the link to the full report, see </w:t>
            </w:r>
            <w:r w:rsidR="000D53C8" w:rsidRPr="00B96CB9">
              <w:rPr>
                <w:smallCaps/>
              </w:rPr>
              <w:t>law society notable updates list</w:t>
            </w:r>
            <w:r w:rsidR="000D53C8" w:rsidRPr="00E042E6">
              <w:t xml:space="preserve"> </w:t>
            </w:r>
            <w:r w:rsidR="00E042E6" w:rsidRPr="00E042E6">
              <w:t>(A-3).</w:t>
            </w:r>
            <w:r w:rsidR="00167156">
              <w:t xml:space="preserve"> </w:t>
            </w:r>
            <w:r w:rsidR="00167156" w:rsidRPr="00167156">
              <w:t>In addition, consult the Law Society’s resources related to anti-money laundering including guidance for the profession</w:t>
            </w:r>
            <w:r w:rsidR="00CE682C">
              <w:t xml:space="preserve">: </w:t>
            </w:r>
            <w:r w:rsidR="00E51515" w:rsidRPr="00800FA6">
              <w:t>www.lawsociety.bc.ca/priorities/anti-money-laundering/</w:t>
            </w:r>
            <w:r w:rsidR="00101CCF">
              <w:t>.</w:t>
            </w:r>
          </w:p>
        </w:tc>
        <w:tc>
          <w:tcPr>
            <w:tcW w:w="450" w:type="dxa"/>
            <w:tcBorders>
              <w:left w:val="single" w:sz="6" w:space="0" w:color="auto"/>
            </w:tcBorders>
          </w:tcPr>
          <w:p w14:paraId="7E75D770" w14:textId="77777777" w:rsidR="009A7B3D" w:rsidRPr="00CA6574" w:rsidRDefault="009A7B3D" w:rsidP="00F963DD">
            <w:pPr>
              <w:pStyle w:val="unformattedtext"/>
              <w:spacing w:after="60"/>
              <w:jc w:val="center"/>
            </w:pPr>
          </w:p>
        </w:tc>
        <w:tc>
          <w:tcPr>
            <w:tcW w:w="450" w:type="dxa"/>
            <w:tcBorders>
              <w:left w:val="single" w:sz="6" w:space="0" w:color="auto"/>
            </w:tcBorders>
          </w:tcPr>
          <w:p w14:paraId="09D6DB34" w14:textId="77777777" w:rsidR="009A7B3D" w:rsidRPr="00CA6574" w:rsidRDefault="009A7B3D" w:rsidP="00F963DD">
            <w:pPr>
              <w:pStyle w:val="unformattedtext"/>
              <w:spacing w:after="60"/>
              <w:jc w:val="center"/>
            </w:pPr>
          </w:p>
        </w:tc>
        <w:tc>
          <w:tcPr>
            <w:tcW w:w="450" w:type="dxa"/>
            <w:tcBorders>
              <w:left w:val="single" w:sz="6" w:space="0" w:color="auto"/>
            </w:tcBorders>
          </w:tcPr>
          <w:p w14:paraId="12A40294" w14:textId="77777777" w:rsidR="009A7B3D" w:rsidRPr="00CA6574" w:rsidRDefault="009A7B3D" w:rsidP="00F963DD">
            <w:pPr>
              <w:pStyle w:val="unformattedtext"/>
              <w:spacing w:after="60"/>
              <w:jc w:val="center"/>
            </w:pPr>
          </w:p>
        </w:tc>
        <w:tc>
          <w:tcPr>
            <w:tcW w:w="1001" w:type="dxa"/>
            <w:tcBorders>
              <w:left w:val="single" w:sz="6" w:space="0" w:color="auto"/>
            </w:tcBorders>
          </w:tcPr>
          <w:p w14:paraId="3903B372" w14:textId="77777777" w:rsidR="009A7B3D" w:rsidRPr="00CA6574" w:rsidRDefault="009A7B3D" w:rsidP="00F963DD">
            <w:pPr>
              <w:pStyle w:val="unformattedtext"/>
              <w:spacing w:after="60"/>
              <w:jc w:val="center"/>
            </w:pPr>
          </w:p>
        </w:tc>
        <w:tc>
          <w:tcPr>
            <w:tcW w:w="1001" w:type="dxa"/>
            <w:tcBorders>
              <w:left w:val="single" w:sz="6" w:space="0" w:color="auto"/>
            </w:tcBorders>
          </w:tcPr>
          <w:p w14:paraId="5E07E16C" w14:textId="77777777" w:rsidR="009A7B3D" w:rsidRPr="00CA6574" w:rsidRDefault="009A7B3D" w:rsidP="00F963DD">
            <w:pPr>
              <w:pStyle w:val="unformattedtext"/>
              <w:spacing w:after="60"/>
              <w:jc w:val="center"/>
            </w:pPr>
          </w:p>
        </w:tc>
      </w:tr>
      <w:tr w:rsidR="005F1DF9" w:rsidRPr="00CA6574" w14:paraId="719F2341" w14:textId="77777777" w:rsidTr="005F1DF9">
        <w:trPr>
          <w:cantSplit/>
          <w:trHeight w:val="2889"/>
        </w:trPr>
        <w:tc>
          <w:tcPr>
            <w:tcW w:w="6948" w:type="dxa"/>
          </w:tcPr>
          <w:p w14:paraId="7DDCA4AD" w14:textId="69043CB7" w:rsidR="005F1DF9" w:rsidRPr="00320649" w:rsidRDefault="005F1DF9" w:rsidP="005F1DF9">
            <w:pPr>
              <w:pStyle w:val="NormalparagraphGN"/>
              <w:widowControl w:val="0"/>
              <w:spacing w:before="120"/>
              <w:ind w:left="360"/>
              <w:rPr>
                <w:b/>
              </w:rPr>
            </w:pPr>
            <w:r>
              <w:t>As a means of laundering money, criminals use ordinary legal instruments (such as shell and numbered companies, bare trusts, and nominees) in the attempt to disguise the true owners of real property, the beneficial owners. These efforts can be hard to detect. As such, lawyers must assess the facts and context of the proposed retainer and financial transactions. Lawyers should be aware of red flags and if a lawyer has doubts or suspicions about whether they could be assisting in any dishonesty, crime or fraud, they should make enough inquiries to determine whether it is appropriate to act (</w:t>
            </w:r>
            <w:r w:rsidRPr="001C4AB2">
              <w:rPr>
                <w:i/>
              </w:rPr>
              <w:t>BC Code</w:t>
            </w:r>
            <w:r>
              <w:t xml:space="preserve"> rules 3.2-7 and 3.2-8 and Law Society Rules 3-103(4), 3-109, and 3-110). See the resources on the Law Society’s </w:t>
            </w:r>
            <w:r w:rsidRPr="007C0C54">
              <w:t>Client ID &amp; Verification resources webpage</w:t>
            </w:r>
            <w:r>
              <w:t xml:space="preserve"> such as the Source of </w:t>
            </w:r>
            <w:r>
              <w:br/>
            </w:r>
          </w:p>
        </w:tc>
        <w:tc>
          <w:tcPr>
            <w:tcW w:w="450" w:type="dxa"/>
            <w:tcBorders>
              <w:left w:val="single" w:sz="6" w:space="0" w:color="auto"/>
            </w:tcBorders>
          </w:tcPr>
          <w:p w14:paraId="14A675F7" w14:textId="77777777" w:rsidR="005F1DF9" w:rsidRPr="00CA6574" w:rsidRDefault="005F1DF9" w:rsidP="00F963DD">
            <w:pPr>
              <w:pStyle w:val="unformattedtext"/>
              <w:spacing w:after="60"/>
              <w:jc w:val="center"/>
            </w:pPr>
          </w:p>
        </w:tc>
        <w:tc>
          <w:tcPr>
            <w:tcW w:w="450" w:type="dxa"/>
            <w:tcBorders>
              <w:left w:val="single" w:sz="6" w:space="0" w:color="auto"/>
            </w:tcBorders>
          </w:tcPr>
          <w:p w14:paraId="5108349C" w14:textId="77777777" w:rsidR="005F1DF9" w:rsidRPr="00CA6574" w:rsidRDefault="005F1DF9" w:rsidP="00F963DD">
            <w:pPr>
              <w:pStyle w:val="unformattedtext"/>
              <w:spacing w:after="60"/>
              <w:jc w:val="center"/>
            </w:pPr>
          </w:p>
        </w:tc>
        <w:tc>
          <w:tcPr>
            <w:tcW w:w="450" w:type="dxa"/>
            <w:tcBorders>
              <w:left w:val="single" w:sz="6" w:space="0" w:color="auto"/>
            </w:tcBorders>
          </w:tcPr>
          <w:p w14:paraId="42D72122" w14:textId="77777777" w:rsidR="005F1DF9" w:rsidRPr="00CA6574" w:rsidRDefault="005F1DF9" w:rsidP="00F963DD">
            <w:pPr>
              <w:pStyle w:val="unformattedtext"/>
              <w:spacing w:after="60"/>
              <w:jc w:val="center"/>
            </w:pPr>
          </w:p>
        </w:tc>
        <w:tc>
          <w:tcPr>
            <w:tcW w:w="1001" w:type="dxa"/>
            <w:tcBorders>
              <w:left w:val="single" w:sz="6" w:space="0" w:color="auto"/>
            </w:tcBorders>
          </w:tcPr>
          <w:p w14:paraId="521EF4BC" w14:textId="77777777" w:rsidR="005F1DF9" w:rsidRPr="00CA6574" w:rsidRDefault="005F1DF9" w:rsidP="00F963DD">
            <w:pPr>
              <w:pStyle w:val="unformattedtext"/>
              <w:spacing w:after="60"/>
              <w:jc w:val="center"/>
            </w:pPr>
          </w:p>
        </w:tc>
        <w:tc>
          <w:tcPr>
            <w:tcW w:w="1001" w:type="dxa"/>
            <w:tcBorders>
              <w:left w:val="single" w:sz="6" w:space="0" w:color="auto"/>
            </w:tcBorders>
          </w:tcPr>
          <w:p w14:paraId="089FB2E8" w14:textId="77777777" w:rsidR="005F1DF9" w:rsidRPr="00CA6574" w:rsidRDefault="005F1DF9" w:rsidP="00F963DD">
            <w:pPr>
              <w:pStyle w:val="unformattedtext"/>
              <w:spacing w:after="60"/>
              <w:jc w:val="center"/>
            </w:pPr>
          </w:p>
        </w:tc>
      </w:tr>
      <w:tr w:rsidR="00320649" w:rsidRPr="00CA6574" w14:paraId="75C8FDFE" w14:textId="77777777" w:rsidTr="00320649">
        <w:trPr>
          <w:cantSplit/>
          <w:trHeight w:val="2061"/>
        </w:trPr>
        <w:tc>
          <w:tcPr>
            <w:tcW w:w="6948" w:type="dxa"/>
          </w:tcPr>
          <w:p w14:paraId="26D423E6" w14:textId="1F786696" w:rsidR="00320649" w:rsidRPr="00C47C89" w:rsidRDefault="005F1DF9" w:rsidP="00C47C89">
            <w:pPr>
              <w:pStyle w:val="NormalparagraphGN"/>
              <w:widowControl w:val="0"/>
              <w:spacing w:before="120"/>
              <w:ind w:left="339"/>
              <w:rPr>
                <w:lang w:val="en-CA"/>
              </w:rPr>
            </w:pPr>
            <w:r>
              <w:lastRenderedPageBreak/>
              <w:t xml:space="preserve">Money FAQs, Risk Assessment Case Studies for the Legal Profession in the context of real estate, trusts, and companies, and the Red Flags Quick Reference Guide. Also see the Risk Advisories for the Legal Profession regarding real estate, shell corporations, private lending, trusts, and litigation; “Forming </w:t>
            </w:r>
            <w:r w:rsidR="00320649">
              <w:t xml:space="preserve">Companies and Other Structures—Managing the Risk </w:t>
            </w:r>
            <w:hyperlink r:id="rId15" w:history="1">
              <w:r w:rsidR="00320649" w:rsidRPr="00AD7E0E">
                <w:rPr>
                  <w:rStyle w:val="Hyperlink"/>
                </w:rPr>
                <w:t>(</w:t>
              </w:r>
              <w:r w:rsidR="00320649" w:rsidRPr="00320649">
                <w:rPr>
                  <w:rStyle w:val="Hyperlink"/>
                  <w:i/>
                </w:rPr>
                <w:t>Benchers’ Bulletin</w:t>
              </w:r>
              <w:r w:rsidR="00320649">
                <w:rPr>
                  <w:rStyle w:val="Hyperlink"/>
                </w:rPr>
                <w:t>, Spring</w:t>
              </w:r>
              <w:r w:rsidR="00320649" w:rsidRPr="00173EB0">
                <w:rPr>
                  <w:rStyle w:val="Hyperlink"/>
                </w:rPr>
                <w:t xml:space="preserve"> 2021</w:t>
              </w:r>
            </w:hyperlink>
            <w:r w:rsidR="00320649" w:rsidRPr="00173EB0">
              <w:t>)</w:t>
            </w:r>
            <w:r w:rsidR="00320649">
              <w:t>;</w:t>
            </w:r>
            <w:r w:rsidR="00320649" w:rsidRPr="00173EB0">
              <w:t xml:space="preserve"> </w:t>
            </w:r>
            <w:r w:rsidR="00320649">
              <w:t xml:space="preserve">and </w:t>
            </w:r>
            <w:r w:rsidR="00320649" w:rsidRPr="00173EB0">
              <w:t xml:space="preserve">the </w:t>
            </w:r>
            <w:hyperlink r:id="rId16" w:history="1">
              <w:r w:rsidR="00320649" w:rsidRPr="00173EB0">
                <w:rPr>
                  <w:rStyle w:val="Hyperlink"/>
                </w:rPr>
                <w:t>Discipline Advisories</w:t>
              </w:r>
            </w:hyperlink>
            <w:r w:rsidR="00320649">
              <w:t xml:space="preserve"> including country/g</w:t>
            </w:r>
            <w:r w:rsidR="00320649" w:rsidRPr="00173EB0">
              <w:t>eographic risk</w:t>
            </w:r>
            <w:r w:rsidR="00837850">
              <w:t xml:space="preserve"> </w:t>
            </w:r>
            <w:r w:rsidR="00837850" w:rsidRPr="00173EB0">
              <w:t>and private lending</w:t>
            </w:r>
            <w:r w:rsidR="00837850">
              <w:t xml:space="preserve">. Lawyers may contact a Law Society practice advisor at </w:t>
            </w:r>
            <w:hyperlink r:id="rId17" w:history="1">
              <w:r w:rsidR="00837850" w:rsidRPr="00C17B27">
                <w:rPr>
                  <w:rStyle w:val="Hyperlink"/>
                </w:rPr>
                <w:t>practiceadvice@lsbc.org</w:t>
              </w:r>
            </w:hyperlink>
            <w:r w:rsidR="00837850">
              <w:t xml:space="preserve"> for a consultation about the applicable </w:t>
            </w:r>
            <w:r w:rsidR="00837850">
              <w:rPr>
                <w:i/>
              </w:rPr>
              <w:t xml:space="preserve">BC </w:t>
            </w:r>
            <w:r w:rsidR="00837850" w:rsidRPr="007C0C54">
              <w:rPr>
                <w:i/>
              </w:rPr>
              <w:t xml:space="preserve">Code </w:t>
            </w:r>
            <w:r w:rsidR="00837850">
              <w:t>rules and Law Society Rules and obtain guidance.</w:t>
            </w:r>
            <w:r w:rsidR="00A61E59">
              <w:t xml:space="preserve"> </w:t>
            </w:r>
            <w:r w:rsidR="00A61E59" w:rsidRPr="00A61E59">
              <w:rPr>
                <w:lang w:val="en-CA"/>
              </w:rPr>
              <w:t>The Federation of Law Societies of Canada recently launched an online learning program “</w:t>
            </w:r>
            <w:hyperlink r:id="rId18" w:history="1">
              <w:r w:rsidR="00A61E59" w:rsidRPr="00A61E59">
                <w:rPr>
                  <w:rStyle w:val="Hyperlink"/>
                  <w:lang w:val="en-CA"/>
                </w:rPr>
                <w:t>Anti-Money Laundering and Terrorist Financing in the Canadian Legal Profession</w:t>
              </w:r>
            </w:hyperlink>
            <w:r w:rsidR="00A61E59" w:rsidRPr="00A61E59">
              <w:rPr>
                <w:lang w:val="en-CA"/>
              </w:rPr>
              <w:t xml:space="preserve">”. </w:t>
            </w:r>
          </w:p>
        </w:tc>
        <w:tc>
          <w:tcPr>
            <w:tcW w:w="450" w:type="dxa"/>
            <w:tcBorders>
              <w:left w:val="single" w:sz="6" w:space="0" w:color="auto"/>
            </w:tcBorders>
          </w:tcPr>
          <w:p w14:paraId="33720267" w14:textId="77777777" w:rsidR="00320649" w:rsidRPr="00CA6574" w:rsidRDefault="00320649" w:rsidP="00F963DD">
            <w:pPr>
              <w:pStyle w:val="unformattedtext"/>
              <w:spacing w:after="60"/>
              <w:jc w:val="center"/>
            </w:pPr>
          </w:p>
        </w:tc>
        <w:tc>
          <w:tcPr>
            <w:tcW w:w="450" w:type="dxa"/>
            <w:tcBorders>
              <w:left w:val="single" w:sz="6" w:space="0" w:color="auto"/>
            </w:tcBorders>
          </w:tcPr>
          <w:p w14:paraId="37D2E6B6" w14:textId="77777777" w:rsidR="00320649" w:rsidRPr="00CA6574" w:rsidRDefault="00320649" w:rsidP="00F963DD">
            <w:pPr>
              <w:pStyle w:val="unformattedtext"/>
              <w:spacing w:after="60"/>
              <w:jc w:val="center"/>
            </w:pPr>
          </w:p>
        </w:tc>
        <w:tc>
          <w:tcPr>
            <w:tcW w:w="450" w:type="dxa"/>
            <w:tcBorders>
              <w:left w:val="single" w:sz="6" w:space="0" w:color="auto"/>
            </w:tcBorders>
          </w:tcPr>
          <w:p w14:paraId="30E99DEC" w14:textId="77777777" w:rsidR="00320649" w:rsidRPr="00CA6574" w:rsidRDefault="00320649" w:rsidP="00F963DD">
            <w:pPr>
              <w:pStyle w:val="unformattedtext"/>
              <w:spacing w:after="60"/>
              <w:jc w:val="center"/>
            </w:pPr>
          </w:p>
        </w:tc>
        <w:tc>
          <w:tcPr>
            <w:tcW w:w="1001" w:type="dxa"/>
            <w:tcBorders>
              <w:left w:val="single" w:sz="6" w:space="0" w:color="auto"/>
            </w:tcBorders>
          </w:tcPr>
          <w:p w14:paraId="0D5C3D5B" w14:textId="77777777" w:rsidR="00320649" w:rsidRPr="00CA6574" w:rsidRDefault="00320649" w:rsidP="00F963DD">
            <w:pPr>
              <w:pStyle w:val="unformattedtext"/>
              <w:spacing w:after="60"/>
              <w:jc w:val="center"/>
            </w:pPr>
          </w:p>
        </w:tc>
        <w:tc>
          <w:tcPr>
            <w:tcW w:w="1001" w:type="dxa"/>
            <w:tcBorders>
              <w:left w:val="single" w:sz="6" w:space="0" w:color="auto"/>
            </w:tcBorders>
          </w:tcPr>
          <w:p w14:paraId="26AA7EA3" w14:textId="77777777" w:rsidR="00320649" w:rsidRPr="00CA6574" w:rsidRDefault="00320649" w:rsidP="00F963DD">
            <w:pPr>
              <w:pStyle w:val="unformattedtext"/>
              <w:spacing w:after="60"/>
              <w:jc w:val="center"/>
            </w:pPr>
          </w:p>
        </w:tc>
      </w:tr>
      <w:tr w:rsidR="00991E2E" w:rsidRPr="00CA6574" w14:paraId="5042B108" w14:textId="77777777" w:rsidTr="007769C1">
        <w:trPr>
          <w:cantSplit/>
          <w:trHeight w:val="1746"/>
        </w:trPr>
        <w:tc>
          <w:tcPr>
            <w:tcW w:w="6948" w:type="dxa"/>
          </w:tcPr>
          <w:p w14:paraId="67C09BB1" w14:textId="77777777" w:rsidR="00C47C89" w:rsidRDefault="00C47C89" w:rsidP="00C47C89">
            <w:pPr>
              <w:pStyle w:val="NormalparagraphGN"/>
              <w:widowControl w:val="0"/>
              <w:numPr>
                <w:ilvl w:val="0"/>
                <w:numId w:val="19"/>
              </w:numPr>
              <w:spacing w:before="60"/>
            </w:pPr>
            <w:r>
              <w:rPr>
                <w:b/>
                <w:bCs/>
              </w:rPr>
              <w:t xml:space="preserve">COVID-19 pandemic. </w:t>
            </w:r>
            <w:r>
              <w:t xml:space="preserve">Counsel should </w:t>
            </w:r>
            <w:r w:rsidRPr="00D87FC0">
              <w:t xml:space="preserve">keep apprised of developments </w:t>
            </w:r>
            <w:r>
              <w:t xml:space="preserve">related to COVID-19 (and response measures) </w:t>
            </w:r>
            <w:r w:rsidRPr="00D87FC0">
              <w:t>that may affect transaction</w:t>
            </w:r>
            <w:r>
              <w:t>s</w:t>
            </w:r>
            <w:r w:rsidRPr="00D87FC0">
              <w:t>.</w:t>
            </w:r>
            <w:r>
              <w:t xml:space="preserve"> Note that:</w:t>
            </w:r>
          </w:p>
          <w:p w14:paraId="3D4DEFEF" w14:textId="762A528F" w:rsidR="00991E2E" w:rsidRPr="00C47C89" w:rsidRDefault="00C47C89" w:rsidP="005F1DF9">
            <w:pPr>
              <w:pStyle w:val="NormalparagraphGN"/>
              <w:widowControl w:val="0"/>
              <w:numPr>
                <w:ilvl w:val="0"/>
                <w:numId w:val="35"/>
              </w:numPr>
              <w:spacing w:before="60"/>
              <w:ind w:left="787" w:hanging="357"/>
              <w:rPr>
                <w:b/>
                <w:lang w:val="en-CA"/>
              </w:rPr>
            </w:pPr>
            <w:r>
              <w:t>The Land</w:t>
            </w:r>
            <w:r w:rsidRPr="00A4278A">
              <w:rPr>
                <w:lang w:val="en-CA"/>
              </w:rPr>
              <w:t xml:space="preserve"> Title Survey Authority will retire temporary COVID-19 practice changes under the </w:t>
            </w:r>
            <w:r w:rsidRPr="00A4278A">
              <w:rPr>
                <w:i/>
                <w:lang w:val="en-CA"/>
              </w:rPr>
              <w:t>Land Title Act</w:t>
            </w:r>
            <w:r w:rsidRPr="00A4278A">
              <w:rPr>
                <w:lang w:val="en-CA"/>
              </w:rPr>
              <w:t>, R</w:t>
            </w:r>
            <w:r>
              <w:rPr>
                <w:lang w:val="en-CA"/>
              </w:rPr>
              <w:t>.</w:t>
            </w:r>
            <w:r w:rsidRPr="00A4278A">
              <w:rPr>
                <w:lang w:val="en-CA"/>
              </w:rPr>
              <w:t>S</w:t>
            </w:r>
            <w:r>
              <w:rPr>
                <w:lang w:val="en-CA"/>
              </w:rPr>
              <w:t>.</w:t>
            </w:r>
            <w:r w:rsidRPr="00A4278A">
              <w:rPr>
                <w:lang w:val="en-CA"/>
              </w:rPr>
              <w:t>B</w:t>
            </w:r>
            <w:r>
              <w:rPr>
                <w:lang w:val="en-CA"/>
              </w:rPr>
              <w:t>.</w:t>
            </w:r>
            <w:r w:rsidRPr="00A4278A">
              <w:rPr>
                <w:lang w:val="en-CA"/>
              </w:rPr>
              <w:t>C</w:t>
            </w:r>
            <w:r>
              <w:rPr>
                <w:lang w:val="en-CA"/>
              </w:rPr>
              <w:t>.</w:t>
            </w:r>
            <w:r w:rsidRPr="00A4278A">
              <w:rPr>
                <w:lang w:val="en-CA"/>
              </w:rPr>
              <w:t xml:space="preserve"> 1996, c. 250, on September 30, 2023. which include remote witnessing of affidavits for use in </w:t>
            </w:r>
            <w:r>
              <w:rPr>
                <w:lang w:val="en-CA"/>
              </w:rPr>
              <w:t>l</w:t>
            </w:r>
            <w:r w:rsidRPr="00A4278A">
              <w:rPr>
                <w:lang w:val="en-CA"/>
              </w:rPr>
              <w:t xml:space="preserve">and </w:t>
            </w:r>
            <w:r>
              <w:rPr>
                <w:lang w:val="en-CA"/>
              </w:rPr>
              <w:t>t</w:t>
            </w:r>
            <w:r w:rsidRPr="00A4278A">
              <w:rPr>
                <w:lang w:val="en-CA"/>
              </w:rPr>
              <w:t xml:space="preserve">itle </w:t>
            </w:r>
            <w:r>
              <w:rPr>
                <w:lang w:val="en-CA"/>
              </w:rPr>
              <w:t>a</w:t>
            </w:r>
            <w:r w:rsidRPr="00A4278A">
              <w:rPr>
                <w:lang w:val="en-CA"/>
              </w:rPr>
              <w:t xml:space="preserve">pplications. Further information may be accessed </w:t>
            </w:r>
            <w:r w:rsidRPr="00270D95">
              <w:rPr>
                <w:lang w:val="en-CA"/>
              </w:rPr>
              <w:t>at https://ltsa.ca/covid-19-resources/</w:t>
            </w:r>
            <w:r>
              <w:rPr>
                <w:lang w:val="en-CA"/>
              </w:rPr>
              <w:t>.</w:t>
            </w:r>
          </w:p>
        </w:tc>
        <w:tc>
          <w:tcPr>
            <w:tcW w:w="450" w:type="dxa"/>
            <w:tcBorders>
              <w:left w:val="single" w:sz="6" w:space="0" w:color="auto"/>
            </w:tcBorders>
          </w:tcPr>
          <w:p w14:paraId="71FA73B2" w14:textId="77777777" w:rsidR="00991E2E" w:rsidRPr="00CA6574" w:rsidRDefault="00991E2E">
            <w:pPr>
              <w:pStyle w:val="unformattedtext"/>
              <w:spacing w:before="60"/>
              <w:jc w:val="center"/>
            </w:pPr>
          </w:p>
        </w:tc>
        <w:tc>
          <w:tcPr>
            <w:tcW w:w="450" w:type="dxa"/>
            <w:tcBorders>
              <w:left w:val="single" w:sz="6" w:space="0" w:color="auto"/>
            </w:tcBorders>
          </w:tcPr>
          <w:p w14:paraId="303565A2" w14:textId="77777777" w:rsidR="00991E2E" w:rsidRPr="00CA6574" w:rsidRDefault="00991E2E">
            <w:pPr>
              <w:pStyle w:val="unformattedtext"/>
              <w:spacing w:before="60"/>
              <w:jc w:val="center"/>
            </w:pPr>
          </w:p>
        </w:tc>
        <w:tc>
          <w:tcPr>
            <w:tcW w:w="450" w:type="dxa"/>
            <w:tcBorders>
              <w:left w:val="single" w:sz="6" w:space="0" w:color="auto"/>
            </w:tcBorders>
          </w:tcPr>
          <w:p w14:paraId="0B88B5F8" w14:textId="77777777" w:rsidR="00991E2E" w:rsidRPr="00CA6574" w:rsidRDefault="00991E2E">
            <w:pPr>
              <w:pStyle w:val="unformattedtext"/>
              <w:spacing w:before="60"/>
              <w:jc w:val="center"/>
            </w:pPr>
          </w:p>
        </w:tc>
        <w:tc>
          <w:tcPr>
            <w:tcW w:w="1001" w:type="dxa"/>
            <w:tcBorders>
              <w:left w:val="single" w:sz="6" w:space="0" w:color="auto"/>
            </w:tcBorders>
          </w:tcPr>
          <w:p w14:paraId="16B9B4D3" w14:textId="77777777" w:rsidR="00991E2E" w:rsidRPr="00CA6574" w:rsidRDefault="00991E2E">
            <w:pPr>
              <w:pStyle w:val="unformattedtext"/>
              <w:spacing w:before="60"/>
              <w:jc w:val="center"/>
            </w:pPr>
          </w:p>
        </w:tc>
        <w:tc>
          <w:tcPr>
            <w:tcW w:w="1001" w:type="dxa"/>
            <w:tcBorders>
              <w:left w:val="single" w:sz="6" w:space="0" w:color="auto"/>
            </w:tcBorders>
          </w:tcPr>
          <w:p w14:paraId="6D5AD24C" w14:textId="77777777" w:rsidR="00991E2E" w:rsidRPr="00CA6574" w:rsidRDefault="00991E2E">
            <w:pPr>
              <w:pStyle w:val="unformattedtext"/>
              <w:spacing w:before="60"/>
              <w:jc w:val="center"/>
            </w:pPr>
          </w:p>
        </w:tc>
      </w:tr>
      <w:tr w:rsidR="00991E2E" w:rsidRPr="00CA6574" w14:paraId="56ADAB29" w14:textId="77777777" w:rsidTr="005F1DF9">
        <w:trPr>
          <w:cantSplit/>
          <w:trHeight w:val="1782"/>
        </w:trPr>
        <w:tc>
          <w:tcPr>
            <w:tcW w:w="6948" w:type="dxa"/>
          </w:tcPr>
          <w:p w14:paraId="298E70AD" w14:textId="56324EE1" w:rsidR="00A4278A" w:rsidRPr="00CA6574" w:rsidRDefault="00A4278A" w:rsidP="005F1DF9">
            <w:pPr>
              <w:pStyle w:val="NormalparagraphGN"/>
              <w:widowControl w:val="0"/>
              <w:numPr>
                <w:ilvl w:val="0"/>
                <w:numId w:val="35"/>
              </w:numPr>
              <w:spacing w:before="60"/>
              <w:ind w:left="787" w:hanging="357"/>
            </w:pPr>
            <w:r>
              <w:t xml:space="preserve">Counsel </w:t>
            </w:r>
            <w:r w:rsidRPr="00C1664E">
              <w:rPr>
                <w:bCs/>
              </w:rPr>
              <w:t xml:space="preserve">conducting due diligence searches </w:t>
            </w:r>
            <w:r>
              <w:rPr>
                <w:bCs/>
              </w:rPr>
              <w:t xml:space="preserve">must </w:t>
            </w:r>
            <w:r w:rsidRPr="00C1664E">
              <w:rPr>
                <w:bCs/>
              </w:rPr>
              <w:t xml:space="preserve">be mindful of the impact of the COVID-19 pandemic on the due diligence process. Response times for search requests may be delayed and, accordingly, such delays should be accounted for in the due diligence timeline. Counsel should be aware that search results may not disclose certain actions, fines, levies, or administrative penalties </w:t>
            </w:r>
            <w:r w:rsidR="0054023C">
              <w:rPr>
                <w:bCs/>
              </w:rPr>
              <w:t>that</w:t>
            </w:r>
            <w:r w:rsidRPr="00C1664E">
              <w:rPr>
                <w:bCs/>
              </w:rPr>
              <w:t xml:space="preserve"> have been delayed but are otherwise permitted to be filed or issued beyond the typical limitation period.</w:t>
            </w:r>
          </w:p>
        </w:tc>
        <w:tc>
          <w:tcPr>
            <w:tcW w:w="450" w:type="dxa"/>
            <w:tcBorders>
              <w:left w:val="single" w:sz="6" w:space="0" w:color="auto"/>
            </w:tcBorders>
          </w:tcPr>
          <w:p w14:paraId="58855E7C" w14:textId="77777777" w:rsidR="00991E2E" w:rsidRPr="00CA6574" w:rsidRDefault="00991E2E" w:rsidP="00A4278A">
            <w:pPr>
              <w:pStyle w:val="unformattedtext"/>
              <w:spacing w:before="60"/>
            </w:pPr>
          </w:p>
        </w:tc>
        <w:tc>
          <w:tcPr>
            <w:tcW w:w="450" w:type="dxa"/>
            <w:tcBorders>
              <w:left w:val="single" w:sz="6" w:space="0" w:color="auto"/>
            </w:tcBorders>
          </w:tcPr>
          <w:p w14:paraId="0F869963" w14:textId="77777777" w:rsidR="00991E2E" w:rsidRPr="00CA6574" w:rsidRDefault="00991E2E">
            <w:pPr>
              <w:pStyle w:val="unformattedtext"/>
              <w:spacing w:before="60"/>
              <w:jc w:val="center"/>
            </w:pPr>
          </w:p>
        </w:tc>
        <w:tc>
          <w:tcPr>
            <w:tcW w:w="450" w:type="dxa"/>
            <w:tcBorders>
              <w:left w:val="single" w:sz="6" w:space="0" w:color="auto"/>
            </w:tcBorders>
          </w:tcPr>
          <w:p w14:paraId="39B71261" w14:textId="77777777" w:rsidR="00991E2E" w:rsidRPr="00CA6574" w:rsidRDefault="00991E2E">
            <w:pPr>
              <w:pStyle w:val="unformattedtext"/>
              <w:spacing w:before="60"/>
              <w:jc w:val="center"/>
            </w:pPr>
          </w:p>
        </w:tc>
        <w:tc>
          <w:tcPr>
            <w:tcW w:w="1001" w:type="dxa"/>
            <w:tcBorders>
              <w:left w:val="single" w:sz="6" w:space="0" w:color="auto"/>
            </w:tcBorders>
          </w:tcPr>
          <w:p w14:paraId="3F48DB8B" w14:textId="77777777" w:rsidR="00991E2E" w:rsidRPr="00CA6574" w:rsidRDefault="00991E2E">
            <w:pPr>
              <w:pStyle w:val="unformattedtext"/>
              <w:spacing w:before="60"/>
              <w:jc w:val="center"/>
            </w:pPr>
          </w:p>
        </w:tc>
        <w:tc>
          <w:tcPr>
            <w:tcW w:w="1001" w:type="dxa"/>
            <w:tcBorders>
              <w:left w:val="single" w:sz="6" w:space="0" w:color="auto"/>
            </w:tcBorders>
          </w:tcPr>
          <w:p w14:paraId="691B4833" w14:textId="77777777" w:rsidR="00991E2E" w:rsidRPr="00CA6574" w:rsidRDefault="00991E2E">
            <w:pPr>
              <w:pStyle w:val="unformattedtext"/>
              <w:spacing w:before="60"/>
              <w:jc w:val="center"/>
            </w:pPr>
          </w:p>
        </w:tc>
      </w:tr>
      <w:tr w:rsidR="00991E2E" w:rsidRPr="00CA6574" w14:paraId="0D711033" w14:textId="77777777" w:rsidTr="005E616F">
        <w:trPr>
          <w:cantSplit/>
          <w:trHeight w:val="1710"/>
        </w:trPr>
        <w:tc>
          <w:tcPr>
            <w:tcW w:w="6948" w:type="dxa"/>
          </w:tcPr>
          <w:p w14:paraId="6F024D1E" w14:textId="348846F4" w:rsidR="00A4278A" w:rsidRDefault="00A4278A" w:rsidP="009B4044">
            <w:pPr>
              <w:pStyle w:val="NormalparagraphGN"/>
              <w:widowControl w:val="0"/>
              <w:numPr>
                <w:ilvl w:val="0"/>
                <w:numId w:val="19"/>
              </w:numPr>
              <w:spacing w:before="60"/>
              <w:rPr>
                <w:b/>
                <w:bCs/>
              </w:rPr>
            </w:pPr>
            <w:r>
              <w:rPr>
                <w:b/>
                <w:bCs/>
              </w:rPr>
              <w:t xml:space="preserve">Additional </w:t>
            </w:r>
            <w:r w:rsidR="00B4402D">
              <w:rPr>
                <w:b/>
                <w:bCs/>
              </w:rPr>
              <w:t>resources</w:t>
            </w:r>
            <w:r>
              <w:rPr>
                <w:b/>
                <w:bCs/>
              </w:rPr>
              <w:t xml:space="preserve">. </w:t>
            </w:r>
            <w:r w:rsidR="003F5576" w:rsidRPr="001B35CB">
              <w:t xml:space="preserve">For further information about asset purchases, see </w:t>
            </w:r>
            <w:r w:rsidR="003F5576" w:rsidRPr="001B35CB">
              <w:rPr>
                <w:i/>
              </w:rPr>
              <w:t>Advising British Columbia Businesses</w:t>
            </w:r>
            <w:r w:rsidR="003F5576" w:rsidRPr="001B35CB">
              <w:t xml:space="preserve"> (CLEBC, 2006</w:t>
            </w:r>
            <w:r w:rsidR="003F5576">
              <w:t>–</w:t>
            </w:r>
            <w:r w:rsidR="003F5576" w:rsidRPr="001B35CB">
              <w:t xml:space="preserve">); </w:t>
            </w:r>
            <w:r w:rsidR="003F5576" w:rsidRPr="001B35CB">
              <w:rPr>
                <w:i/>
                <w:iCs/>
              </w:rPr>
              <w:t>Buying and Selling a Business: Annotated Precedents</w:t>
            </w:r>
            <w:r w:rsidR="003F5576" w:rsidRPr="001B35CB">
              <w:t xml:space="preserve"> (CLEBC, 200</w:t>
            </w:r>
            <w:r w:rsidR="003F5576">
              <w:t>0–</w:t>
            </w:r>
            <w:r w:rsidR="003F5576" w:rsidRPr="001B35CB">
              <w:t xml:space="preserve">); </w:t>
            </w:r>
            <w:r w:rsidR="003F5576" w:rsidRPr="001B35CB">
              <w:rPr>
                <w:i/>
              </w:rPr>
              <w:t>British Columbia Personal Property Security Act Practice Manual</w:t>
            </w:r>
            <w:r w:rsidR="003F5576" w:rsidRPr="001B35CB">
              <w:t xml:space="preserve"> (CLEBC, 1995</w:t>
            </w:r>
            <w:r w:rsidR="003F5576">
              <w:t>–</w:t>
            </w:r>
            <w:r w:rsidR="003F5576" w:rsidRPr="001B35CB">
              <w:t>);</w:t>
            </w:r>
            <w:r w:rsidR="003F5576">
              <w:t xml:space="preserve"> and </w:t>
            </w:r>
            <w:r w:rsidR="003F5576" w:rsidRPr="001B35CB">
              <w:t xml:space="preserve">the </w:t>
            </w:r>
            <w:r w:rsidR="003F5576" w:rsidRPr="001B35CB">
              <w:rPr>
                <w:rStyle w:val="Italics"/>
              </w:rPr>
              <w:t>Due Diligence</w:t>
            </w:r>
            <w:r w:rsidR="003F5576" w:rsidRPr="001B35CB">
              <w:t xml:space="preserve"> </w:t>
            </w:r>
            <w:proofErr w:type="spellStart"/>
            <w:r w:rsidR="003F5576" w:rsidRPr="001B35CB">
              <w:rPr>
                <w:rStyle w:val="Italics"/>
              </w:rPr>
              <w:t>Deskbook</w:t>
            </w:r>
            <w:proofErr w:type="spellEnd"/>
            <w:r w:rsidR="003F5576" w:rsidRPr="001B35CB">
              <w:rPr>
                <w:rStyle w:val="Italics"/>
                <w:i w:val="0"/>
                <w:iCs/>
              </w:rPr>
              <w:t xml:space="preserve"> (CLEBC, 1994</w:t>
            </w:r>
            <w:r w:rsidR="003F5576">
              <w:rPr>
                <w:rStyle w:val="Italics"/>
                <w:i w:val="0"/>
                <w:iCs/>
              </w:rPr>
              <w:t>–</w:t>
            </w:r>
            <w:r w:rsidR="003F5576" w:rsidRPr="001B35CB">
              <w:rPr>
                <w:rStyle w:val="Italics"/>
                <w:i w:val="0"/>
                <w:iCs/>
              </w:rPr>
              <w:t>)</w:t>
            </w:r>
            <w:r w:rsidR="003F5576">
              <w:rPr>
                <w:rStyle w:val="Italics"/>
              </w:rPr>
              <w:t>.</w:t>
            </w:r>
          </w:p>
          <w:p w14:paraId="5F8C2D8B" w14:textId="1455FA5E" w:rsidR="003D30C1" w:rsidRPr="00CA6574" w:rsidRDefault="00991E2E" w:rsidP="009B4044">
            <w:pPr>
              <w:pStyle w:val="NormalparagraphGN"/>
              <w:widowControl w:val="0"/>
              <w:numPr>
                <w:ilvl w:val="0"/>
                <w:numId w:val="19"/>
              </w:numPr>
              <w:spacing w:before="60"/>
              <w:rPr>
                <w:b/>
                <w:bCs/>
              </w:rPr>
            </w:pPr>
            <w:r>
              <w:rPr>
                <w:b/>
                <w:bCs/>
              </w:rPr>
              <w:t xml:space="preserve">Law Society of British Columbia. </w:t>
            </w:r>
            <w:r w:rsidRPr="00E46030">
              <w:rPr>
                <w:bCs/>
              </w:rPr>
              <w:t xml:space="preserve">For changes to the Law Society </w:t>
            </w:r>
            <w:r w:rsidRPr="00CD6608">
              <w:rPr>
                <w:bCs/>
              </w:rPr>
              <w:t xml:space="preserve">Rules and </w:t>
            </w:r>
            <w:r>
              <w:rPr>
                <w:bCs/>
              </w:rPr>
              <w:t xml:space="preserve">other Law Society updates and </w:t>
            </w:r>
            <w:r w:rsidRPr="00CD6608">
              <w:rPr>
                <w:bCs/>
              </w:rPr>
              <w:t>issues “</w:t>
            </w:r>
            <w:r>
              <w:rPr>
                <w:bCs/>
              </w:rPr>
              <w:t>o</w:t>
            </w:r>
            <w:r w:rsidRPr="00CD6608">
              <w:rPr>
                <w:bCs/>
              </w:rPr>
              <w:t xml:space="preserve">f note”, </w:t>
            </w:r>
            <w:r w:rsidRPr="00C82D21">
              <w:rPr>
                <w:bCs/>
              </w:rPr>
              <w:t xml:space="preserve">see </w:t>
            </w:r>
            <w:r w:rsidR="00B80330" w:rsidRPr="00B96CB9">
              <w:rPr>
                <w:smallCaps/>
              </w:rPr>
              <w:t>law society notable updates list</w:t>
            </w:r>
            <w:r w:rsidR="00B80330">
              <w:rPr>
                <w:bCs/>
              </w:rPr>
              <w:t xml:space="preserve"> </w:t>
            </w:r>
            <w:r>
              <w:rPr>
                <w:bCs/>
              </w:rPr>
              <w:t>(A-3)</w:t>
            </w:r>
            <w:r w:rsidRPr="00C82D21">
              <w:rPr>
                <w:bCs/>
              </w:rPr>
              <w:t>.</w:t>
            </w:r>
            <w:r>
              <w:rPr>
                <w:bCs/>
              </w:rPr>
              <w:t xml:space="preserve"> Note in particular the commentary on fraud prevention, </w:t>
            </w:r>
            <w:r w:rsidRPr="008955D4">
              <w:rPr>
                <w:bCs/>
              </w:rPr>
              <w:t xml:space="preserve">bank holds on trust funds, and </w:t>
            </w:r>
            <w:r>
              <w:rPr>
                <w:bCs/>
              </w:rPr>
              <w:t xml:space="preserve">all </w:t>
            </w:r>
            <w:r w:rsidRPr="008955D4">
              <w:rPr>
                <w:bCs/>
              </w:rPr>
              <w:t xml:space="preserve">other matters </w:t>
            </w:r>
            <w:r>
              <w:rPr>
                <w:bCs/>
              </w:rPr>
              <w:t>that</w:t>
            </w:r>
            <w:r w:rsidRPr="008955D4">
              <w:rPr>
                <w:bCs/>
              </w:rPr>
              <w:t xml:space="preserve"> may be relevant to purchase and sale transactions.</w:t>
            </w:r>
            <w:r w:rsidR="00F0648C">
              <w:rPr>
                <w:bCs/>
              </w:rPr>
              <w:t xml:space="preserve"> </w:t>
            </w:r>
          </w:p>
        </w:tc>
        <w:tc>
          <w:tcPr>
            <w:tcW w:w="450" w:type="dxa"/>
            <w:tcBorders>
              <w:left w:val="single" w:sz="6" w:space="0" w:color="auto"/>
            </w:tcBorders>
          </w:tcPr>
          <w:p w14:paraId="1FBC0BAF" w14:textId="77777777" w:rsidR="00991E2E" w:rsidRPr="00CA6574" w:rsidRDefault="00991E2E">
            <w:pPr>
              <w:pStyle w:val="unformattedtext"/>
              <w:spacing w:before="60"/>
              <w:jc w:val="center"/>
            </w:pPr>
          </w:p>
        </w:tc>
        <w:tc>
          <w:tcPr>
            <w:tcW w:w="450" w:type="dxa"/>
            <w:tcBorders>
              <w:left w:val="single" w:sz="6" w:space="0" w:color="auto"/>
            </w:tcBorders>
          </w:tcPr>
          <w:p w14:paraId="0C18F86B" w14:textId="77777777" w:rsidR="00991E2E" w:rsidRPr="00CA6574" w:rsidRDefault="00991E2E">
            <w:pPr>
              <w:pStyle w:val="unformattedtext"/>
              <w:spacing w:before="60"/>
              <w:jc w:val="center"/>
            </w:pPr>
          </w:p>
        </w:tc>
        <w:tc>
          <w:tcPr>
            <w:tcW w:w="450" w:type="dxa"/>
            <w:tcBorders>
              <w:left w:val="single" w:sz="6" w:space="0" w:color="auto"/>
            </w:tcBorders>
          </w:tcPr>
          <w:p w14:paraId="34FECB0F" w14:textId="77777777" w:rsidR="00991E2E" w:rsidRPr="00CA6574" w:rsidRDefault="00991E2E">
            <w:pPr>
              <w:pStyle w:val="unformattedtext"/>
              <w:spacing w:before="60"/>
              <w:jc w:val="center"/>
            </w:pPr>
          </w:p>
        </w:tc>
        <w:tc>
          <w:tcPr>
            <w:tcW w:w="1001" w:type="dxa"/>
            <w:tcBorders>
              <w:left w:val="single" w:sz="6" w:space="0" w:color="auto"/>
            </w:tcBorders>
          </w:tcPr>
          <w:p w14:paraId="2DC0BC0B" w14:textId="77777777" w:rsidR="00991E2E" w:rsidRPr="00CA6574" w:rsidRDefault="00991E2E">
            <w:pPr>
              <w:pStyle w:val="unformattedtext"/>
              <w:spacing w:before="60"/>
              <w:jc w:val="center"/>
            </w:pPr>
          </w:p>
        </w:tc>
        <w:tc>
          <w:tcPr>
            <w:tcW w:w="1001" w:type="dxa"/>
            <w:tcBorders>
              <w:left w:val="single" w:sz="6" w:space="0" w:color="auto"/>
            </w:tcBorders>
          </w:tcPr>
          <w:p w14:paraId="55FAB14F" w14:textId="77777777" w:rsidR="00991E2E" w:rsidRPr="00CA6574" w:rsidRDefault="00991E2E">
            <w:pPr>
              <w:pStyle w:val="unformattedtext"/>
              <w:spacing w:before="60"/>
              <w:jc w:val="center"/>
            </w:pPr>
          </w:p>
        </w:tc>
      </w:tr>
      <w:tr w:rsidR="00991E2E" w:rsidRPr="00CA6574" w14:paraId="2227B35F" w14:textId="77777777" w:rsidTr="007B77B0">
        <w:trPr>
          <w:cantSplit/>
          <w:trHeight w:val="2403"/>
        </w:trPr>
        <w:tc>
          <w:tcPr>
            <w:tcW w:w="6948" w:type="dxa"/>
          </w:tcPr>
          <w:p w14:paraId="4587289A" w14:textId="77777777" w:rsidR="00991E2E" w:rsidRPr="00CA6574" w:rsidRDefault="00991E2E">
            <w:pPr>
              <w:pStyle w:val="centre"/>
              <w:keepNext w:val="0"/>
              <w:keepLines w:val="0"/>
            </w:pPr>
            <w:r w:rsidRPr="00CA6574">
              <w:t>CONTENTS</w:t>
            </w:r>
          </w:p>
          <w:p w14:paraId="6D2D7F00" w14:textId="77777777" w:rsidR="00991E2E" w:rsidRPr="00CA6574" w:rsidRDefault="00991E2E">
            <w:pPr>
              <w:pStyle w:val="Contentslevel1GC"/>
            </w:pPr>
            <w:r w:rsidRPr="00CA6574">
              <w:t>1.</w:t>
            </w:r>
            <w:r w:rsidRPr="00CA6574">
              <w:tab/>
              <w:t>Initial Contact</w:t>
            </w:r>
          </w:p>
          <w:p w14:paraId="056E01CA" w14:textId="77777777" w:rsidR="00991E2E" w:rsidRPr="00CA6574" w:rsidRDefault="00991E2E">
            <w:pPr>
              <w:pStyle w:val="Contentslevel1GC"/>
            </w:pPr>
            <w:r w:rsidRPr="00CA6574">
              <w:t>2.</w:t>
            </w:r>
            <w:r w:rsidRPr="00CA6574">
              <w:tab/>
              <w:t>Initial Interview</w:t>
            </w:r>
          </w:p>
          <w:p w14:paraId="68474D51" w14:textId="77777777" w:rsidR="00991E2E" w:rsidRPr="00CA6574" w:rsidRDefault="00991E2E">
            <w:pPr>
              <w:pStyle w:val="Contentslevel1GC"/>
            </w:pPr>
            <w:r w:rsidRPr="00CA6574">
              <w:t>3.</w:t>
            </w:r>
            <w:r w:rsidRPr="00CA6574">
              <w:tab/>
              <w:t>After the Initial Interview</w:t>
            </w:r>
          </w:p>
          <w:p w14:paraId="126DF957" w14:textId="77777777" w:rsidR="00991E2E" w:rsidRPr="00CA6574" w:rsidRDefault="00991E2E">
            <w:pPr>
              <w:pStyle w:val="Contentslevel1GC"/>
            </w:pPr>
            <w:r w:rsidRPr="00CA6574">
              <w:t>4.</w:t>
            </w:r>
            <w:r w:rsidRPr="00CA6574">
              <w:tab/>
              <w:t>Drafting the Agreement</w:t>
            </w:r>
          </w:p>
          <w:p w14:paraId="20033B13" w14:textId="77777777" w:rsidR="00991E2E" w:rsidRPr="00CA6574" w:rsidRDefault="00991E2E">
            <w:pPr>
              <w:pStyle w:val="Contentslevel1GC"/>
            </w:pPr>
            <w:r w:rsidRPr="00CA6574">
              <w:t>5.</w:t>
            </w:r>
            <w:r w:rsidRPr="00CA6574">
              <w:tab/>
              <w:t>Prior to Closing</w:t>
            </w:r>
          </w:p>
          <w:p w14:paraId="36FE11C8" w14:textId="77777777" w:rsidR="00991E2E" w:rsidRPr="00CA6574" w:rsidRDefault="00991E2E">
            <w:pPr>
              <w:pStyle w:val="Contentslevel1GC"/>
            </w:pPr>
            <w:r w:rsidRPr="00CA6574">
              <w:t>6.</w:t>
            </w:r>
            <w:r w:rsidRPr="00CA6574">
              <w:tab/>
              <w:t>Closing</w:t>
            </w:r>
          </w:p>
          <w:p w14:paraId="4BFD033E" w14:textId="77777777" w:rsidR="00991E2E" w:rsidRPr="00CA6574" w:rsidRDefault="00991E2E" w:rsidP="00D84E94">
            <w:pPr>
              <w:pStyle w:val="Contentslevel1GC"/>
            </w:pPr>
            <w:r w:rsidRPr="00CA6574">
              <w:t>7.</w:t>
            </w:r>
            <w:r w:rsidRPr="00CA6574">
              <w:tab/>
              <w:t>Post</w:t>
            </w:r>
            <w:r w:rsidR="006A0A12">
              <w:t>-</w:t>
            </w:r>
            <w:r w:rsidRPr="00CA6574">
              <w:t>Closing</w:t>
            </w:r>
          </w:p>
        </w:tc>
        <w:tc>
          <w:tcPr>
            <w:tcW w:w="450" w:type="dxa"/>
            <w:tcBorders>
              <w:left w:val="single" w:sz="6" w:space="0" w:color="auto"/>
            </w:tcBorders>
          </w:tcPr>
          <w:p w14:paraId="44723658" w14:textId="77777777" w:rsidR="00991E2E" w:rsidRPr="00CA6574" w:rsidRDefault="00991E2E">
            <w:pPr>
              <w:pStyle w:val="unformattedtext"/>
              <w:spacing w:before="60"/>
              <w:jc w:val="center"/>
            </w:pPr>
          </w:p>
        </w:tc>
        <w:tc>
          <w:tcPr>
            <w:tcW w:w="450" w:type="dxa"/>
            <w:tcBorders>
              <w:left w:val="single" w:sz="6" w:space="0" w:color="auto"/>
            </w:tcBorders>
          </w:tcPr>
          <w:p w14:paraId="6C9B991F" w14:textId="77777777" w:rsidR="00991E2E" w:rsidRPr="00CA6574" w:rsidRDefault="00991E2E">
            <w:pPr>
              <w:pStyle w:val="unformattedtext"/>
              <w:spacing w:before="60"/>
              <w:jc w:val="center"/>
            </w:pPr>
          </w:p>
        </w:tc>
        <w:tc>
          <w:tcPr>
            <w:tcW w:w="450" w:type="dxa"/>
            <w:tcBorders>
              <w:left w:val="single" w:sz="6" w:space="0" w:color="auto"/>
            </w:tcBorders>
          </w:tcPr>
          <w:p w14:paraId="284E1B38" w14:textId="77777777" w:rsidR="00991E2E" w:rsidRPr="00CA6574" w:rsidRDefault="00991E2E">
            <w:pPr>
              <w:pStyle w:val="unformattedtext"/>
              <w:spacing w:before="60"/>
              <w:jc w:val="center"/>
            </w:pPr>
          </w:p>
        </w:tc>
        <w:tc>
          <w:tcPr>
            <w:tcW w:w="1001" w:type="dxa"/>
            <w:tcBorders>
              <w:left w:val="single" w:sz="6" w:space="0" w:color="auto"/>
            </w:tcBorders>
          </w:tcPr>
          <w:p w14:paraId="57770ED5" w14:textId="77777777" w:rsidR="00991E2E" w:rsidRPr="00CA6574" w:rsidRDefault="00991E2E">
            <w:pPr>
              <w:pStyle w:val="unformattedtext"/>
              <w:spacing w:before="60"/>
              <w:jc w:val="center"/>
            </w:pPr>
          </w:p>
        </w:tc>
        <w:tc>
          <w:tcPr>
            <w:tcW w:w="1001" w:type="dxa"/>
            <w:tcBorders>
              <w:left w:val="single" w:sz="6" w:space="0" w:color="auto"/>
            </w:tcBorders>
          </w:tcPr>
          <w:p w14:paraId="0D80D2E7" w14:textId="77777777" w:rsidR="00991E2E" w:rsidRPr="00CA6574" w:rsidRDefault="00991E2E">
            <w:pPr>
              <w:pStyle w:val="unformattedtext"/>
              <w:spacing w:before="60"/>
              <w:jc w:val="center"/>
            </w:pPr>
          </w:p>
        </w:tc>
      </w:tr>
      <w:tr w:rsidR="00991E2E" w:rsidRPr="00CA6574" w14:paraId="133C3F16" w14:textId="77777777">
        <w:trPr>
          <w:cantSplit/>
        </w:trPr>
        <w:tc>
          <w:tcPr>
            <w:tcW w:w="6948" w:type="dxa"/>
          </w:tcPr>
          <w:p w14:paraId="681919FA" w14:textId="77777777" w:rsidR="00991E2E" w:rsidRPr="00CA6574" w:rsidRDefault="00991E2E">
            <w:pPr>
              <w:pStyle w:val="centre"/>
              <w:keepNext w:val="0"/>
              <w:keepLines w:val="0"/>
            </w:pPr>
            <w:r w:rsidRPr="00CA6574">
              <w:t>CHECKLIST</w:t>
            </w:r>
          </w:p>
        </w:tc>
        <w:tc>
          <w:tcPr>
            <w:tcW w:w="450" w:type="dxa"/>
            <w:tcBorders>
              <w:left w:val="single" w:sz="6" w:space="0" w:color="auto"/>
            </w:tcBorders>
          </w:tcPr>
          <w:p w14:paraId="26067D30" w14:textId="77777777" w:rsidR="00991E2E" w:rsidRPr="00CA6574" w:rsidRDefault="00991E2E">
            <w:pPr>
              <w:pStyle w:val="unformattedtext"/>
              <w:spacing w:before="60"/>
              <w:jc w:val="center"/>
            </w:pPr>
          </w:p>
        </w:tc>
        <w:tc>
          <w:tcPr>
            <w:tcW w:w="450" w:type="dxa"/>
            <w:tcBorders>
              <w:left w:val="single" w:sz="6" w:space="0" w:color="auto"/>
            </w:tcBorders>
          </w:tcPr>
          <w:p w14:paraId="61FD6D75" w14:textId="77777777" w:rsidR="00991E2E" w:rsidRPr="00CA6574" w:rsidRDefault="00991E2E">
            <w:pPr>
              <w:pStyle w:val="unformattedtext"/>
              <w:spacing w:before="60"/>
              <w:jc w:val="center"/>
            </w:pPr>
          </w:p>
        </w:tc>
        <w:tc>
          <w:tcPr>
            <w:tcW w:w="450" w:type="dxa"/>
            <w:tcBorders>
              <w:left w:val="single" w:sz="6" w:space="0" w:color="auto"/>
            </w:tcBorders>
          </w:tcPr>
          <w:p w14:paraId="525D053C" w14:textId="77777777" w:rsidR="00991E2E" w:rsidRPr="00CA6574" w:rsidRDefault="00991E2E">
            <w:pPr>
              <w:pStyle w:val="unformattedtext"/>
              <w:spacing w:before="60"/>
              <w:jc w:val="center"/>
            </w:pPr>
          </w:p>
        </w:tc>
        <w:tc>
          <w:tcPr>
            <w:tcW w:w="1001" w:type="dxa"/>
            <w:tcBorders>
              <w:left w:val="single" w:sz="6" w:space="0" w:color="auto"/>
            </w:tcBorders>
          </w:tcPr>
          <w:p w14:paraId="559E9F92" w14:textId="77777777" w:rsidR="00991E2E" w:rsidRPr="00CA6574" w:rsidRDefault="00991E2E">
            <w:pPr>
              <w:pStyle w:val="unformattedtext"/>
              <w:spacing w:before="60"/>
              <w:jc w:val="center"/>
            </w:pPr>
          </w:p>
        </w:tc>
        <w:tc>
          <w:tcPr>
            <w:tcW w:w="1001" w:type="dxa"/>
            <w:tcBorders>
              <w:left w:val="single" w:sz="6" w:space="0" w:color="auto"/>
            </w:tcBorders>
          </w:tcPr>
          <w:p w14:paraId="415C7689" w14:textId="77777777" w:rsidR="00991E2E" w:rsidRPr="00CA6574" w:rsidRDefault="00991E2E">
            <w:pPr>
              <w:pStyle w:val="unformattedtext"/>
              <w:spacing w:before="60"/>
              <w:jc w:val="center"/>
            </w:pPr>
          </w:p>
        </w:tc>
      </w:tr>
      <w:tr w:rsidR="00991E2E" w:rsidRPr="00CA6574" w14:paraId="4214CEBE" w14:textId="77777777">
        <w:trPr>
          <w:cantSplit/>
        </w:trPr>
        <w:tc>
          <w:tcPr>
            <w:tcW w:w="6948" w:type="dxa"/>
          </w:tcPr>
          <w:p w14:paraId="094CF641" w14:textId="77777777" w:rsidR="00991E2E" w:rsidRPr="00CA6574" w:rsidRDefault="00991E2E">
            <w:pPr>
              <w:pStyle w:val="NumberedheadingGH"/>
              <w:keepNext w:val="0"/>
              <w:keepLines w:val="0"/>
            </w:pPr>
            <w:r w:rsidRPr="00CA6574">
              <w:t>1.</w:t>
            </w:r>
            <w:r w:rsidRPr="00CA6574">
              <w:tab/>
              <w:t>INITIAL CONTACT</w:t>
            </w:r>
          </w:p>
        </w:tc>
        <w:tc>
          <w:tcPr>
            <w:tcW w:w="450" w:type="dxa"/>
            <w:tcBorders>
              <w:left w:val="single" w:sz="6" w:space="0" w:color="auto"/>
            </w:tcBorders>
          </w:tcPr>
          <w:p w14:paraId="688FC51F" w14:textId="77777777" w:rsidR="00991E2E" w:rsidRPr="00CA6574" w:rsidRDefault="00991E2E">
            <w:pPr>
              <w:pStyle w:val="NumberedheadingGH"/>
              <w:keepNext w:val="0"/>
              <w:keepLines w:val="0"/>
              <w:jc w:val="center"/>
            </w:pPr>
          </w:p>
        </w:tc>
        <w:tc>
          <w:tcPr>
            <w:tcW w:w="450" w:type="dxa"/>
            <w:tcBorders>
              <w:left w:val="single" w:sz="6" w:space="0" w:color="auto"/>
            </w:tcBorders>
          </w:tcPr>
          <w:p w14:paraId="6E8A283A" w14:textId="77777777" w:rsidR="00991E2E" w:rsidRPr="00CA6574" w:rsidRDefault="00991E2E">
            <w:pPr>
              <w:pStyle w:val="NumberedheadingGH"/>
              <w:keepNext w:val="0"/>
              <w:keepLines w:val="0"/>
              <w:jc w:val="center"/>
            </w:pPr>
          </w:p>
        </w:tc>
        <w:tc>
          <w:tcPr>
            <w:tcW w:w="450" w:type="dxa"/>
            <w:tcBorders>
              <w:left w:val="single" w:sz="6" w:space="0" w:color="auto"/>
            </w:tcBorders>
          </w:tcPr>
          <w:p w14:paraId="45361D79" w14:textId="77777777" w:rsidR="00991E2E" w:rsidRPr="00CA6574" w:rsidRDefault="00991E2E">
            <w:pPr>
              <w:pStyle w:val="NumberedheadingGH"/>
              <w:keepNext w:val="0"/>
              <w:keepLines w:val="0"/>
              <w:jc w:val="center"/>
            </w:pPr>
          </w:p>
        </w:tc>
        <w:tc>
          <w:tcPr>
            <w:tcW w:w="1001" w:type="dxa"/>
            <w:tcBorders>
              <w:left w:val="single" w:sz="6" w:space="0" w:color="auto"/>
            </w:tcBorders>
          </w:tcPr>
          <w:p w14:paraId="48159415" w14:textId="77777777" w:rsidR="00991E2E" w:rsidRPr="00CA6574" w:rsidRDefault="00991E2E">
            <w:pPr>
              <w:pStyle w:val="NumberedheadingGH"/>
              <w:keepNext w:val="0"/>
              <w:keepLines w:val="0"/>
              <w:jc w:val="center"/>
            </w:pPr>
          </w:p>
        </w:tc>
        <w:tc>
          <w:tcPr>
            <w:tcW w:w="1001" w:type="dxa"/>
            <w:tcBorders>
              <w:left w:val="single" w:sz="6" w:space="0" w:color="auto"/>
            </w:tcBorders>
          </w:tcPr>
          <w:p w14:paraId="7EDEBD65" w14:textId="77777777" w:rsidR="00991E2E" w:rsidRPr="00CA6574" w:rsidRDefault="00991E2E">
            <w:pPr>
              <w:pStyle w:val="NumberedheadingGH"/>
              <w:keepNext w:val="0"/>
              <w:keepLines w:val="0"/>
              <w:jc w:val="center"/>
            </w:pPr>
          </w:p>
        </w:tc>
      </w:tr>
      <w:tr w:rsidR="00991E2E" w:rsidRPr="00CA6574" w14:paraId="6F78FD6C" w14:textId="77777777" w:rsidTr="005F1DF9">
        <w:trPr>
          <w:cantSplit/>
          <w:trHeight w:val="549"/>
        </w:trPr>
        <w:tc>
          <w:tcPr>
            <w:tcW w:w="6948" w:type="dxa"/>
          </w:tcPr>
          <w:p w14:paraId="334C1D06" w14:textId="77777777" w:rsidR="00991E2E" w:rsidRPr="00CA6574" w:rsidRDefault="00991E2E">
            <w:pPr>
              <w:pStyle w:val="Level111G1"/>
            </w:pPr>
            <w:r w:rsidRPr="00CA6574">
              <w:tab/>
              <w:t>1.1</w:t>
            </w:r>
            <w:r w:rsidRPr="00CA6574">
              <w:tab/>
              <w:t>Arrange the initial interview.</w:t>
            </w:r>
          </w:p>
        </w:tc>
        <w:tc>
          <w:tcPr>
            <w:tcW w:w="450" w:type="dxa"/>
            <w:tcBorders>
              <w:left w:val="single" w:sz="6" w:space="0" w:color="auto"/>
            </w:tcBorders>
          </w:tcPr>
          <w:p w14:paraId="0A024C65" w14:textId="77777777" w:rsidR="00991E2E" w:rsidRPr="00CA6574" w:rsidRDefault="00991E2E">
            <w:pPr>
              <w:pStyle w:val="Level111G1"/>
            </w:pPr>
          </w:p>
        </w:tc>
        <w:tc>
          <w:tcPr>
            <w:tcW w:w="450" w:type="dxa"/>
            <w:tcBorders>
              <w:left w:val="single" w:sz="6" w:space="0" w:color="auto"/>
            </w:tcBorders>
          </w:tcPr>
          <w:p w14:paraId="153970AC" w14:textId="77777777" w:rsidR="00991E2E" w:rsidRPr="00CA6574" w:rsidRDefault="00991E2E">
            <w:pPr>
              <w:pStyle w:val="Level111G1"/>
            </w:pPr>
          </w:p>
        </w:tc>
        <w:tc>
          <w:tcPr>
            <w:tcW w:w="450" w:type="dxa"/>
            <w:tcBorders>
              <w:left w:val="single" w:sz="6" w:space="0" w:color="auto"/>
            </w:tcBorders>
          </w:tcPr>
          <w:p w14:paraId="57A42FE1" w14:textId="77777777" w:rsidR="00991E2E" w:rsidRPr="00CA6574" w:rsidRDefault="00991E2E">
            <w:pPr>
              <w:pStyle w:val="Level111G1"/>
            </w:pPr>
          </w:p>
        </w:tc>
        <w:tc>
          <w:tcPr>
            <w:tcW w:w="1001" w:type="dxa"/>
            <w:tcBorders>
              <w:left w:val="single" w:sz="6" w:space="0" w:color="auto"/>
            </w:tcBorders>
          </w:tcPr>
          <w:p w14:paraId="50CDA9D2" w14:textId="77777777" w:rsidR="00991E2E" w:rsidRPr="00CA6574" w:rsidRDefault="00991E2E">
            <w:pPr>
              <w:pStyle w:val="Level111G1"/>
            </w:pPr>
          </w:p>
        </w:tc>
        <w:tc>
          <w:tcPr>
            <w:tcW w:w="1001" w:type="dxa"/>
            <w:tcBorders>
              <w:left w:val="single" w:sz="6" w:space="0" w:color="auto"/>
            </w:tcBorders>
          </w:tcPr>
          <w:p w14:paraId="7CF8CA62" w14:textId="77777777" w:rsidR="00991E2E" w:rsidRPr="00CA6574" w:rsidRDefault="00991E2E">
            <w:pPr>
              <w:pStyle w:val="Level111G1"/>
            </w:pPr>
          </w:p>
        </w:tc>
      </w:tr>
      <w:tr w:rsidR="00320649" w:rsidRPr="00CA6574" w14:paraId="34FE8DCB" w14:textId="77777777">
        <w:trPr>
          <w:cantSplit/>
        </w:trPr>
        <w:tc>
          <w:tcPr>
            <w:tcW w:w="6948" w:type="dxa"/>
          </w:tcPr>
          <w:p w14:paraId="6A3681FC" w14:textId="5E5535C5" w:rsidR="00320649" w:rsidRPr="00CA6574" w:rsidRDefault="00320649">
            <w:pPr>
              <w:pStyle w:val="Level111G1"/>
            </w:pPr>
            <w:r w:rsidRPr="00CA6574">
              <w:lastRenderedPageBreak/>
              <w:tab/>
              <w:t>1.2</w:t>
            </w:r>
            <w:r w:rsidRPr="00CA6574">
              <w:tab/>
              <w:t>Ask the client to bring to the initial interview all available financial and operational information on the target company and the vendor</w:t>
            </w:r>
            <w:r w:rsidR="005B4780">
              <w:t>(s)</w:t>
            </w:r>
            <w:r w:rsidRPr="00CA6574">
              <w:t xml:space="preserve">, particularly financial statements, </w:t>
            </w:r>
            <w:r w:rsidR="00804B6F">
              <w:t xml:space="preserve">ownership information, </w:t>
            </w:r>
            <w:r w:rsidRPr="00CA6574">
              <w:t>annual reports, prospectuses, press releases, list of assets, contracts, leases, government permits, etc.</w:t>
            </w:r>
            <w:r w:rsidR="005B4780">
              <w:t xml:space="preserve"> </w:t>
            </w:r>
            <w:r w:rsidR="003F5576">
              <w:t>(</w:t>
            </w:r>
            <w:r w:rsidR="005B4780">
              <w:t>as may be applicable</w:t>
            </w:r>
            <w:r w:rsidR="003F5576">
              <w:t>)</w:t>
            </w:r>
            <w:r w:rsidR="005B4780">
              <w:t>.</w:t>
            </w:r>
            <w:r w:rsidRPr="00CA6574">
              <w:t xml:space="preserve"> Consider requesting client information if the target is to </w:t>
            </w:r>
            <w:r w:rsidRPr="00320649">
              <w:t>be combined with or complementary to an</w:t>
            </w:r>
            <w:r>
              <w:t xml:space="preserve"> existing investment of the client. Where information is not available, consider </w:t>
            </w:r>
            <w:r w:rsidR="005E616F">
              <w:rPr>
                <w:spacing w:val="-4"/>
              </w:rPr>
              <w:t>how it will be obtained.</w:t>
            </w:r>
          </w:p>
        </w:tc>
        <w:tc>
          <w:tcPr>
            <w:tcW w:w="450" w:type="dxa"/>
            <w:tcBorders>
              <w:left w:val="single" w:sz="6" w:space="0" w:color="auto"/>
            </w:tcBorders>
          </w:tcPr>
          <w:p w14:paraId="48257E48" w14:textId="77777777" w:rsidR="00320649" w:rsidRPr="00CA6574" w:rsidRDefault="00320649">
            <w:pPr>
              <w:pStyle w:val="Level111G1"/>
            </w:pPr>
          </w:p>
        </w:tc>
        <w:tc>
          <w:tcPr>
            <w:tcW w:w="450" w:type="dxa"/>
            <w:tcBorders>
              <w:left w:val="single" w:sz="6" w:space="0" w:color="auto"/>
            </w:tcBorders>
          </w:tcPr>
          <w:p w14:paraId="616A72E9" w14:textId="77777777" w:rsidR="00320649" w:rsidRPr="00CA6574" w:rsidRDefault="00320649">
            <w:pPr>
              <w:pStyle w:val="Level111G1"/>
            </w:pPr>
          </w:p>
        </w:tc>
        <w:tc>
          <w:tcPr>
            <w:tcW w:w="450" w:type="dxa"/>
            <w:tcBorders>
              <w:left w:val="single" w:sz="6" w:space="0" w:color="auto"/>
            </w:tcBorders>
          </w:tcPr>
          <w:p w14:paraId="4BC73DEB" w14:textId="77777777" w:rsidR="00320649" w:rsidRPr="00CA6574" w:rsidRDefault="00320649">
            <w:pPr>
              <w:pStyle w:val="Level111G1"/>
            </w:pPr>
          </w:p>
        </w:tc>
        <w:tc>
          <w:tcPr>
            <w:tcW w:w="1001" w:type="dxa"/>
            <w:tcBorders>
              <w:left w:val="single" w:sz="6" w:space="0" w:color="auto"/>
            </w:tcBorders>
          </w:tcPr>
          <w:p w14:paraId="359F4214" w14:textId="77777777" w:rsidR="00320649" w:rsidRPr="00CA6574" w:rsidRDefault="00320649">
            <w:pPr>
              <w:pStyle w:val="Level111G1"/>
            </w:pPr>
          </w:p>
        </w:tc>
        <w:tc>
          <w:tcPr>
            <w:tcW w:w="1001" w:type="dxa"/>
            <w:tcBorders>
              <w:left w:val="single" w:sz="6" w:space="0" w:color="auto"/>
            </w:tcBorders>
          </w:tcPr>
          <w:p w14:paraId="39B6CDB6" w14:textId="77777777" w:rsidR="00320649" w:rsidRPr="00CA6574" w:rsidRDefault="00320649">
            <w:pPr>
              <w:pStyle w:val="Level111G1"/>
            </w:pPr>
          </w:p>
        </w:tc>
      </w:tr>
      <w:tr w:rsidR="00991E2E" w:rsidRPr="00CA6574" w14:paraId="20A40FF3" w14:textId="77777777" w:rsidTr="009A7B3D">
        <w:trPr>
          <w:cantSplit/>
          <w:trHeight w:val="621"/>
        </w:trPr>
        <w:tc>
          <w:tcPr>
            <w:tcW w:w="6948" w:type="dxa"/>
          </w:tcPr>
          <w:p w14:paraId="3645EAEB" w14:textId="017BF437" w:rsidR="005E616F" w:rsidRPr="00CA6574" w:rsidRDefault="00991E2E" w:rsidP="00B80330">
            <w:pPr>
              <w:pStyle w:val="Level111G1"/>
            </w:pPr>
            <w:r w:rsidRPr="00CA6574">
              <w:tab/>
              <w:t>1.3</w:t>
            </w:r>
            <w:r w:rsidRPr="00CA6574">
              <w:tab/>
            </w:r>
            <w:r w:rsidR="00002AEB" w:rsidRPr="00002AEB">
              <w:t xml:space="preserve">Conduct a conflicts of interest check. Refer to the </w:t>
            </w:r>
            <w:r w:rsidR="00B80330">
              <w:rPr>
                <w:bCs/>
                <w:smallCaps/>
              </w:rPr>
              <w:t xml:space="preserve">client </w:t>
            </w:r>
            <w:r w:rsidR="00B80330" w:rsidRPr="00944672">
              <w:rPr>
                <w:smallCaps/>
              </w:rPr>
              <w:t xml:space="preserve">file opening </w:t>
            </w:r>
            <w:r w:rsidR="00B80330">
              <w:rPr>
                <w:smallCaps/>
              </w:rPr>
              <w:t>and</w:t>
            </w:r>
            <w:r w:rsidR="00B80330" w:rsidRPr="00944672">
              <w:rPr>
                <w:smallCaps/>
              </w:rPr>
              <w:t xml:space="preserve"> closing</w:t>
            </w:r>
            <w:r w:rsidR="00B80330">
              <w:t xml:space="preserve"> </w:t>
            </w:r>
            <w:r w:rsidR="00002AEB" w:rsidRPr="00002AEB">
              <w:t>(A-2) checklist.</w:t>
            </w:r>
          </w:p>
        </w:tc>
        <w:tc>
          <w:tcPr>
            <w:tcW w:w="450" w:type="dxa"/>
            <w:tcBorders>
              <w:left w:val="single" w:sz="6" w:space="0" w:color="auto"/>
            </w:tcBorders>
          </w:tcPr>
          <w:p w14:paraId="33521190" w14:textId="77777777" w:rsidR="00991E2E" w:rsidRPr="00CA6574" w:rsidRDefault="00991E2E" w:rsidP="003055B2">
            <w:pPr>
              <w:pStyle w:val="Level111G1"/>
            </w:pPr>
          </w:p>
        </w:tc>
        <w:tc>
          <w:tcPr>
            <w:tcW w:w="450" w:type="dxa"/>
            <w:tcBorders>
              <w:left w:val="single" w:sz="6" w:space="0" w:color="auto"/>
            </w:tcBorders>
          </w:tcPr>
          <w:p w14:paraId="6E789322" w14:textId="77777777" w:rsidR="00991E2E" w:rsidRPr="00CA6574" w:rsidRDefault="00991E2E" w:rsidP="003055B2">
            <w:pPr>
              <w:pStyle w:val="Level111G1"/>
            </w:pPr>
          </w:p>
        </w:tc>
        <w:tc>
          <w:tcPr>
            <w:tcW w:w="450" w:type="dxa"/>
            <w:tcBorders>
              <w:left w:val="single" w:sz="6" w:space="0" w:color="auto"/>
            </w:tcBorders>
          </w:tcPr>
          <w:p w14:paraId="22B166AE" w14:textId="77777777" w:rsidR="00991E2E" w:rsidRPr="00CA6574" w:rsidRDefault="00991E2E" w:rsidP="003055B2">
            <w:pPr>
              <w:pStyle w:val="Level111G1"/>
            </w:pPr>
          </w:p>
        </w:tc>
        <w:tc>
          <w:tcPr>
            <w:tcW w:w="1001" w:type="dxa"/>
            <w:tcBorders>
              <w:left w:val="single" w:sz="6" w:space="0" w:color="auto"/>
            </w:tcBorders>
          </w:tcPr>
          <w:p w14:paraId="0ABCE746" w14:textId="77777777" w:rsidR="00991E2E" w:rsidRPr="00CA6574" w:rsidRDefault="00991E2E" w:rsidP="003055B2">
            <w:pPr>
              <w:pStyle w:val="Level111G1"/>
            </w:pPr>
          </w:p>
        </w:tc>
        <w:tc>
          <w:tcPr>
            <w:tcW w:w="1001" w:type="dxa"/>
            <w:tcBorders>
              <w:left w:val="single" w:sz="6" w:space="0" w:color="auto"/>
            </w:tcBorders>
          </w:tcPr>
          <w:p w14:paraId="0C01158A" w14:textId="77777777" w:rsidR="00991E2E" w:rsidRPr="00CA6574" w:rsidRDefault="00991E2E" w:rsidP="003055B2">
            <w:pPr>
              <w:pStyle w:val="Level111G1"/>
            </w:pPr>
          </w:p>
        </w:tc>
      </w:tr>
      <w:tr w:rsidR="00991E2E" w:rsidRPr="00CA6574" w14:paraId="1F18C484" w14:textId="77777777" w:rsidTr="00B456CA">
        <w:trPr>
          <w:cantSplit/>
          <w:trHeight w:val="972"/>
        </w:trPr>
        <w:tc>
          <w:tcPr>
            <w:tcW w:w="6948" w:type="dxa"/>
          </w:tcPr>
          <w:p w14:paraId="51049553" w14:textId="3FF44070" w:rsidR="00991E2E" w:rsidRPr="00CA6574" w:rsidRDefault="00991E2E" w:rsidP="008D1005">
            <w:pPr>
              <w:pStyle w:val="Level111G1"/>
            </w:pPr>
            <w:r w:rsidRPr="00CA6574">
              <w:tab/>
              <w:t>1.4</w:t>
            </w:r>
            <w:r w:rsidRPr="00CA6574">
              <w:tab/>
            </w:r>
            <w:r w:rsidR="00002AEB" w:rsidRPr="00CA6574">
              <w:t>Confirm compliance with Law Society Rules 3-98 to 3-1</w:t>
            </w:r>
            <w:r w:rsidR="00002AEB">
              <w:t>10</w:t>
            </w:r>
            <w:r w:rsidR="00002AEB" w:rsidRPr="00CA6574">
              <w:t xml:space="preserve"> </w:t>
            </w:r>
            <w:r w:rsidR="00002AEB">
              <w:t xml:space="preserve">for </w:t>
            </w:r>
            <w:r w:rsidR="00002AEB" w:rsidRPr="00CA6574">
              <w:t>client ide</w:t>
            </w:r>
            <w:r w:rsidR="00002AEB" w:rsidRPr="00002AEB">
              <w:t>n</w:t>
            </w:r>
            <w:r w:rsidR="00002AEB" w:rsidRPr="00CA6574">
              <w:t>tification and verification</w:t>
            </w:r>
            <w:r w:rsidR="00002AEB">
              <w:t xml:space="preserve"> and the source of money for financial transactions</w:t>
            </w:r>
            <w:r w:rsidR="00002AEB" w:rsidRPr="00CA6574">
              <w:t xml:space="preserve">, and complete the </w:t>
            </w:r>
            <w:r w:rsidR="00B80330">
              <w:rPr>
                <w:bCs/>
                <w:smallCaps/>
              </w:rPr>
              <w:t>client</w:t>
            </w:r>
            <w:r w:rsidR="008D1005">
              <w:rPr>
                <w:bCs/>
                <w:smallCaps/>
              </w:rPr>
              <w:t xml:space="preserve"> </w:t>
            </w:r>
            <w:r w:rsidR="00B80330">
              <w:rPr>
                <w:bCs/>
                <w:smallCaps/>
              </w:rPr>
              <w:t>identification</w:t>
            </w:r>
            <w:r w:rsidR="004E63E9" w:rsidRPr="004E63E9">
              <w:rPr>
                <w:bCs/>
                <w:smallCaps/>
              </w:rPr>
              <w:t xml:space="preserve">, </w:t>
            </w:r>
            <w:r w:rsidR="004E63E9">
              <w:rPr>
                <w:bCs/>
                <w:smallCaps/>
              </w:rPr>
              <w:t>v</w:t>
            </w:r>
            <w:r w:rsidR="004E63E9" w:rsidRPr="004E63E9">
              <w:rPr>
                <w:bCs/>
                <w:smallCaps/>
              </w:rPr>
              <w:t xml:space="preserve">erification, and </w:t>
            </w:r>
            <w:r w:rsidR="004E63E9">
              <w:rPr>
                <w:bCs/>
                <w:smallCaps/>
              </w:rPr>
              <w:t>s</w:t>
            </w:r>
            <w:r w:rsidR="004E63E9" w:rsidRPr="004E63E9">
              <w:rPr>
                <w:bCs/>
                <w:smallCaps/>
              </w:rPr>
              <w:t xml:space="preserve">ource of </w:t>
            </w:r>
            <w:r w:rsidR="004E63E9">
              <w:rPr>
                <w:bCs/>
                <w:smallCaps/>
              </w:rPr>
              <w:t>m</w:t>
            </w:r>
            <w:r w:rsidR="004E63E9" w:rsidRPr="004E63E9">
              <w:rPr>
                <w:bCs/>
                <w:smallCaps/>
              </w:rPr>
              <w:t xml:space="preserve">oney </w:t>
            </w:r>
            <w:r w:rsidR="00002AEB" w:rsidRPr="00002AEB">
              <w:t>(A-1)</w:t>
            </w:r>
            <w:r w:rsidR="00002AEB">
              <w:t xml:space="preserve"> checklist.</w:t>
            </w:r>
            <w:r w:rsidR="00B3039C">
              <w:t xml:space="preserve"> </w:t>
            </w:r>
            <w:r w:rsidR="00B3039C" w:rsidRPr="00B3039C">
              <w:t>Consider periodic monitoring requirements (Rule 3-110).</w:t>
            </w:r>
            <w:r w:rsidR="00002AEB" w:rsidRPr="00002AEB">
              <w:t xml:space="preserve"> </w:t>
            </w:r>
          </w:p>
        </w:tc>
        <w:tc>
          <w:tcPr>
            <w:tcW w:w="450" w:type="dxa"/>
            <w:tcBorders>
              <w:left w:val="single" w:sz="6" w:space="0" w:color="auto"/>
            </w:tcBorders>
          </w:tcPr>
          <w:p w14:paraId="37E165E6" w14:textId="77777777" w:rsidR="00991E2E" w:rsidRPr="00CA6574" w:rsidRDefault="00991E2E">
            <w:pPr>
              <w:pStyle w:val="Level111G1"/>
            </w:pPr>
          </w:p>
        </w:tc>
        <w:tc>
          <w:tcPr>
            <w:tcW w:w="450" w:type="dxa"/>
            <w:tcBorders>
              <w:left w:val="single" w:sz="6" w:space="0" w:color="auto"/>
            </w:tcBorders>
          </w:tcPr>
          <w:p w14:paraId="5D0EECBD" w14:textId="77777777" w:rsidR="00991E2E" w:rsidRPr="00CA6574" w:rsidRDefault="00991E2E">
            <w:pPr>
              <w:pStyle w:val="Level111G1"/>
            </w:pPr>
          </w:p>
        </w:tc>
        <w:tc>
          <w:tcPr>
            <w:tcW w:w="450" w:type="dxa"/>
            <w:tcBorders>
              <w:left w:val="single" w:sz="6" w:space="0" w:color="auto"/>
            </w:tcBorders>
          </w:tcPr>
          <w:p w14:paraId="209CF3BE" w14:textId="77777777" w:rsidR="00991E2E" w:rsidRPr="00CA6574" w:rsidRDefault="00991E2E">
            <w:pPr>
              <w:pStyle w:val="Level111G1"/>
            </w:pPr>
          </w:p>
        </w:tc>
        <w:tc>
          <w:tcPr>
            <w:tcW w:w="1001" w:type="dxa"/>
            <w:tcBorders>
              <w:left w:val="single" w:sz="6" w:space="0" w:color="auto"/>
            </w:tcBorders>
          </w:tcPr>
          <w:p w14:paraId="403F74C6" w14:textId="77777777" w:rsidR="00991E2E" w:rsidRPr="00CA6574" w:rsidRDefault="00991E2E">
            <w:pPr>
              <w:pStyle w:val="Level111G1"/>
            </w:pPr>
          </w:p>
        </w:tc>
        <w:tc>
          <w:tcPr>
            <w:tcW w:w="1001" w:type="dxa"/>
            <w:tcBorders>
              <w:left w:val="single" w:sz="6" w:space="0" w:color="auto"/>
            </w:tcBorders>
          </w:tcPr>
          <w:p w14:paraId="5D6FA4F9" w14:textId="77777777" w:rsidR="00991E2E" w:rsidRPr="00CA6574" w:rsidRDefault="00991E2E">
            <w:pPr>
              <w:pStyle w:val="Level111G1"/>
            </w:pPr>
          </w:p>
        </w:tc>
      </w:tr>
      <w:tr w:rsidR="005B4780" w:rsidRPr="00CA6574" w14:paraId="09611F46" w14:textId="77777777" w:rsidTr="005F1DF9">
        <w:trPr>
          <w:cantSplit/>
          <w:trHeight w:val="783"/>
        </w:trPr>
        <w:tc>
          <w:tcPr>
            <w:tcW w:w="6948" w:type="dxa"/>
          </w:tcPr>
          <w:p w14:paraId="1A56CB7E" w14:textId="085971CB" w:rsidR="005B4780" w:rsidRPr="00CA6574" w:rsidRDefault="00804B6F">
            <w:pPr>
              <w:pStyle w:val="Level111G1"/>
            </w:pPr>
            <w:r>
              <w:tab/>
              <w:t>1.5</w:t>
            </w:r>
            <w:r w:rsidR="005B4780" w:rsidRPr="00CA6574">
              <w:tab/>
            </w:r>
            <w:r w:rsidR="006740BB">
              <w:t>I</w:t>
            </w:r>
            <w:r w:rsidR="005B4780">
              <w:t>nquire as to whether the client has discussed the prospective transaction with their accounting advisor and consider obtaining such advisor’s contact particulars in order to obtain their input on the transaction.</w:t>
            </w:r>
            <w:r w:rsidR="005B4780" w:rsidRPr="00002AEB">
              <w:t xml:space="preserve"> </w:t>
            </w:r>
          </w:p>
        </w:tc>
        <w:tc>
          <w:tcPr>
            <w:tcW w:w="450" w:type="dxa"/>
            <w:tcBorders>
              <w:left w:val="single" w:sz="6" w:space="0" w:color="auto"/>
            </w:tcBorders>
          </w:tcPr>
          <w:p w14:paraId="0EC972E7" w14:textId="77777777" w:rsidR="005B4780" w:rsidRPr="00CA6574" w:rsidRDefault="005B4780" w:rsidP="005B4780">
            <w:pPr>
              <w:pStyle w:val="Level111G1"/>
            </w:pPr>
          </w:p>
        </w:tc>
        <w:tc>
          <w:tcPr>
            <w:tcW w:w="450" w:type="dxa"/>
            <w:tcBorders>
              <w:left w:val="single" w:sz="6" w:space="0" w:color="auto"/>
            </w:tcBorders>
          </w:tcPr>
          <w:p w14:paraId="6149AF07" w14:textId="77777777" w:rsidR="005B4780" w:rsidRPr="00CA6574" w:rsidRDefault="005B4780" w:rsidP="005B4780">
            <w:pPr>
              <w:pStyle w:val="Level111G1"/>
            </w:pPr>
          </w:p>
        </w:tc>
        <w:tc>
          <w:tcPr>
            <w:tcW w:w="450" w:type="dxa"/>
            <w:tcBorders>
              <w:left w:val="single" w:sz="6" w:space="0" w:color="auto"/>
            </w:tcBorders>
          </w:tcPr>
          <w:p w14:paraId="62CC98B3" w14:textId="77777777" w:rsidR="005B4780" w:rsidRPr="00CA6574" w:rsidRDefault="005B4780" w:rsidP="005B4780">
            <w:pPr>
              <w:pStyle w:val="Level111G1"/>
            </w:pPr>
          </w:p>
        </w:tc>
        <w:tc>
          <w:tcPr>
            <w:tcW w:w="1001" w:type="dxa"/>
            <w:tcBorders>
              <w:left w:val="single" w:sz="6" w:space="0" w:color="auto"/>
            </w:tcBorders>
          </w:tcPr>
          <w:p w14:paraId="5E0B0037" w14:textId="77777777" w:rsidR="005B4780" w:rsidRPr="00CA6574" w:rsidRDefault="005B4780" w:rsidP="005B4780">
            <w:pPr>
              <w:pStyle w:val="Level111G1"/>
            </w:pPr>
          </w:p>
        </w:tc>
        <w:tc>
          <w:tcPr>
            <w:tcW w:w="1001" w:type="dxa"/>
            <w:tcBorders>
              <w:left w:val="single" w:sz="6" w:space="0" w:color="auto"/>
            </w:tcBorders>
          </w:tcPr>
          <w:p w14:paraId="67141B1D" w14:textId="77777777" w:rsidR="005B4780" w:rsidRPr="00CA6574" w:rsidRDefault="005B4780" w:rsidP="005B4780">
            <w:pPr>
              <w:pStyle w:val="Level111G1"/>
            </w:pPr>
          </w:p>
        </w:tc>
      </w:tr>
      <w:tr w:rsidR="005B4780" w:rsidRPr="00CA6574" w14:paraId="31C64E42" w14:textId="77777777" w:rsidTr="00B456CA">
        <w:trPr>
          <w:cantSplit/>
        </w:trPr>
        <w:tc>
          <w:tcPr>
            <w:tcW w:w="6948" w:type="dxa"/>
          </w:tcPr>
          <w:p w14:paraId="1437D08D" w14:textId="77777777" w:rsidR="005B4780" w:rsidRPr="00CA6574" w:rsidRDefault="005B4780" w:rsidP="005B4780">
            <w:pPr>
              <w:pStyle w:val="NumberedheadingGH"/>
              <w:keepLines w:val="0"/>
              <w:ind w:left="446" w:hanging="446"/>
            </w:pPr>
            <w:r w:rsidRPr="00CA6574">
              <w:t>2.</w:t>
            </w:r>
            <w:r w:rsidRPr="00CA6574">
              <w:tab/>
              <w:t>INITIAL INTERVIEW</w:t>
            </w:r>
          </w:p>
        </w:tc>
        <w:tc>
          <w:tcPr>
            <w:tcW w:w="450" w:type="dxa"/>
            <w:tcBorders>
              <w:left w:val="single" w:sz="6" w:space="0" w:color="auto"/>
            </w:tcBorders>
          </w:tcPr>
          <w:p w14:paraId="3C486779" w14:textId="77777777" w:rsidR="005B4780" w:rsidRPr="00CA6574" w:rsidRDefault="005B4780" w:rsidP="005B4780">
            <w:pPr>
              <w:pStyle w:val="NumberedheadingGH"/>
              <w:keepNext w:val="0"/>
              <w:keepLines w:val="0"/>
              <w:jc w:val="center"/>
            </w:pPr>
          </w:p>
        </w:tc>
        <w:tc>
          <w:tcPr>
            <w:tcW w:w="450" w:type="dxa"/>
            <w:tcBorders>
              <w:left w:val="single" w:sz="6" w:space="0" w:color="auto"/>
            </w:tcBorders>
          </w:tcPr>
          <w:p w14:paraId="40B653EA" w14:textId="77777777" w:rsidR="005B4780" w:rsidRPr="00CA6574" w:rsidRDefault="005B4780" w:rsidP="005B4780">
            <w:pPr>
              <w:pStyle w:val="NumberedheadingGH"/>
              <w:keepNext w:val="0"/>
              <w:keepLines w:val="0"/>
              <w:jc w:val="center"/>
            </w:pPr>
          </w:p>
        </w:tc>
        <w:tc>
          <w:tcPr>
            <w:tcW w:w="450" w:type="dxa"/>
            <w:tcBorders>
              <w:left w:val="single" w:sz="6" w:space="0" w:color="auto"/>
            </w:tcBorders>
          </w:tcPr>
          <w:p w14:paraId="2DBE125F" w14:textId="77777777" w:rsidR="005B4780" w:rsidRPr="00CA6574" w:rsidRDefault="005B4780" w:rsidP="005B4780">
            <w:pPr>
              <w:pStyle w:val="NumberedheadingGH"/>
              <w:keepNext w:val="0"/>
              <w:keepLines w:val="0"/>
              <w:jc w:val="center"/>
            </w:pPr>
          </w:p>
        </w:tc>
        <w:tc>
          <w:tcPr>
            <w:tcW w:w="1001" w:type="dxa"/>
            <w:tcBorders>
              <w:left w:val="single" w:sz="6" w:space="0" w:color="auto"/>
            </w:tcBorders>
          </w:tcPr>
          <w:p w14:paraId="6FD3A299" w14:textId="77777777" w:rsidR="005B4780" w:rsidRPr="00CA6574" w:rsidRDefault="005B4780" w:rsidP="005B4780">
            <w:pPr>
              <w:pStyle w:val="NumberedheadingGH"/>
              <w:keepNext w:val="0"/>
              <w:keepLines w:val="0"/>
              <w:jc w:val="center"/>
            </w:pPr>
          </w:p>
        </w:tc>
        <w:tc>
          <w:tcPr>
            <w:tcW w:w="1001" w:type="dxa"/>
            <w:tcBorders>
              <w:left w:val="single" w:sz="6" w:space="0" w:color="auto"/>
            </w:tcBorders>
          </w:tcPr>
          <w:p w14:paraId="2511AA7D" w14:textId="77777777" w:rsidR="005B4780" w:rsidRPr="00CA6574" w:rsidRDefault="005B4780" w:rsidP="005B4780">
            <w:pPr>
              <w:pStyle w:val="NumberedheadingGH"/>
              <w:keepNext w:val="0"/>
              <w:keepLines w:val="0"/>
              <w:jc w:val="center"/>
            </w:pPr>
          </w:p>
        </w:tc>
      </w:tr>
      <w:tr w:rsidR="005B4780" w:rsidRPr="00CA6574" w14:paraId="7402F508" w14:textId="77777777" w:rsidTr="00C47C89">
        <w:trPr>
          <w:cantSplit/>
          <w:trHeight w:val="2637"/>
        </w:trPr>
        <w:tc>
          <w:tcPr>
            <w:tcW w:w="6948" w:type="dxa"/>
          </w:tcPr>
          <w:p w14:paraId="1FB51371" w14:textId="4EEDE1A0" w:rsidR="005B4780" w:rsidRPr="00CA6574" w:rsidRDefault="005B4780">
            <w:pPr>
              <w:pStyle w:val="Level111G1"/>
            </w:pPr>
            <w:r w:rsidRPr="00CA6574">
              <w:tab/>
            </w:r>
            <w:r w:rsidRPr="00B47038">
              <w:t>2.1</w:t>
            </w:r>
            <w:r w:rsidRPr="00B47038">
              <w:tab/>
            </w:r>
            <w:r>
              <w:t xml:space="preserve">Discuss the terms of your retainer and the calculation of your fee. Refer to the </w:t>
            </w:r>
            <w:r>
              <w:rPr>
                <w:bCs/>
                <w:smallCaps/>
              </w:rPr>
              <w:t xml:space="preserve">client </w:t>
            </w:r>
            <w:r w:rsidRPr="00944672">
              <w:rPr>
                <w:smallCaps/>
              </w:rPr>
              <w:t xml:space="preserve">file opening </w:t>
            </w:r>
            <w:r>
              <w:rPr>
                <w:smallCaps/>
              </w:rPr>
              <w:t>and</w:t>
            </w:r>
            <w:r w:rsidRPr="00944672">
              <w:rPr>
                <w:smallCaps/>
              </w:rPr>
              <w:t xml:space="preserve"> closing</w:t>
            </w:r>
            <w:r w:rsidDel="0045108E">
              <w:t xml:space="preserve"> </w:t>
            </w:r>
            <w:r>
              <w:t xml:space="preserve">(A-2) checklist. </w:t>
            </w:r>
            <w:r w:rsidRPr="00B47038">
              <w:t>Clarify your role in the transaction and that of other advisors to the client. Make it clear for whom you are working</w:t>
            </w:r>
            <w:r>
              <w:t xml:space="preserve"> (in particular, if there is more than one purchaser </w:t>
            </w:r>
            <w:r w:rsidR="00804B6F">
              <w:t>or principal of the purchaser</w:t>
            </w:r>
            <w:r>
              <w:t>)</w:t>
            </w:r>
            <w:r w:rsidRPr="00B47038">
              <w:t xml:space="preserve">. </w:t>
            </w:r>
            <w:r w:rsidRPr="00380A50">
              <w:t xml:space="preserve">If acting for more than one party, ensure that you comply with </w:t>
            </w:r>
            <w:r>
              <w:t xml:space="preserve">the </w:t>
            </w:r>
            <w:r w:rsidRPr="00837850">
              <w:rPr>
                <w:i/>
              </w:rPr>
              <w:t>Code of Professional Conduct for British Columbia</w:t>
            </w:r>
            <w:r w:rsidRPr="00F23F7D">
              <w:t xml:space="preserve"> (the “</w:t>
            </w:r>
            <w:r w:rsidRPr="00837850">
              <w:rPr>
                <w:i/>
              </w:rPr>
              <w:t>BC Code</w:t>
            </w:r>
            <w:r w:rsidRPr="00F23F7D">
              <w:t>”) rules 3.4-5 to 3.4-9 regarding joint retainers</w:t>
            </w:r>
            <w:r w:rsidR="000D4B69">
              <w:t>,</w:t>
            </w:r>
            <w:r w:rsidR="007256EE">
              <w:t xml:space="preserve"> and refer to item 2.4 in the </w:t>
            </w:r>
            <w:r w:rsidR="007256EE">
              <w:rPr>
                <w:bCs/>
                <w:smallCaps/>
              </w:rPr>
              <w:t xml:space="preserve">client </w:t>
            </w:r>
            <w:r w:rsidR="007256EE" w:rsidRPr="00944672">
              <w:rPr>
                <w:smallCaps/>
              </w:rPr>
              <w:t xml:space="preserve">file opening </w:t>
            </w:r>
            <w:r w:rsidR="007256EE">
              <w:rPr>
                <w:smallCaps/>
              </w:rPr>
              <w:t>and</w:t>
            </w:r>
            <w:r w:rsidR="007256EE" w:rsidRPr="00944672">
              <w:rPr>
                <w:smallCaps/>
              </w:rPr>
              <w:t xml:space="preserve"> closing</w:t>
            </w:r>
            <w:r w:rsidR="007256EE" w:rsidDel="0045108E">
              <w:t xml:space="preserve"> </w:t>
            </w:r>
            <w:r w:rsidR="007256EE" w:rsidRPr="00F04DF2">
              <w:rPr>
                <w:smallCaps/>
              </w:rPr>
              <w:t>(A-2)</w:t>
            </w:r>
            <w:r w:rsidR="007256EE">
              <w:t xml:space="preserve"> checklist.</w:t>
            </w:r>
            <w:r w:rsidR="007256EE" w:rsidRPr="00F23F7D">
              <w:t xml:space="preserve"> </w:t>
            </w:r>
            <w:r w:rsidRPr="00B47038">
              <w:t>Urge others, in writing</w:t>
            </w:r>
            <w:r>
              <w:t>,</w:t>
            </w:r>
            <w:r w:rsidRPr="00B47038">
              <w:t xml:space="preserve"> to get independent legal representation. Make it clear that you are not protecting their interests and that you are acting exclusively in the interests of your client (</w:t>
            </w:r>
            <w:r w:rsidRPr="00837850">
              <w:rPr>
                <w:i/>
              </w:rPr>
              <w:t>BC Code</w:t>
            </w:r>
            <w:r>
              <w:t xml:space="preserve">, </w:t>
            </w:r>
            <w:r w:rsidRPr="00B47038">
              <w:t>rule 7.2-9).</w:t>
            </w:r>
          </w:p>
        </w:tc>
        <w:tc>
          <w:tcPr>
            <w:tcW w:w="450" w:type="dxa"/>
            <w:tcBorders>
              <w:left w:val="single" w:sz="6" w:space="0" w:color="auto"/>
            </w:tcBorders>
          </w:tcPr>
          <w:p w14:paraId="00B7AB40" w14:textId="77777777" w:rsidR="005B4780" w:rsidRPr="00CA6574" w:rsidRDefault="005B4780" w:rsidP="005B4780">
            <w:pPr>
              <w:pStyle w:val="Level111G1"/>
            </w:pPr>
          </w:p>
        </w:tc>
        <w:tc>
          <w:tcPr>
            <w:tcW w:w="450" w:type="dxa"/>
            <w:tcBorders>
              <w:left w:val="single" w:sz="6" w:space="0" w:color="auto"/>
            </w:tcBorders>
          </w:tcPr>
          <w:p w14:paraId="21315785" w14:textId="77777777" w:rsidR="005B4780" w:rsidRPr="00CA6574" w:rsidRDefault="005B4780" w:rsidP="005B4780">
            <w:pPr>
              <w:pStyle w:val="Level111G1"/>
            </w:pPr>
          </w:p>
        </w:tc>
        <w:tc>
          <w:tcPr>
            <w:tcW w:w="450" w:type="dxa"/>
            <w:tcBorders>
              <w:left w:val="single" w:sz="6" w:space="0" w:color="auto"/>
            </w:tcBorders>
          </w:tcPr>
          <w:p w14:paraId="7CF755AB" w14:textId="77777777" w:rsidR="005B4780" w:rsidRPr="00CA6574" w:rsidRDefault="005B4780" w:rsidP="005B4780">
            <w:pPr>
              <w:pStyle w:val="Level111G1"/>
            </w:pPr>
          </w:p>
        </w:tc>
        <w:tc>
          <w:tcPr>
            <w:tcW w:w="1001" w:type="dxa"/>
            <w:tcBorders>
              <w:left w:val="single" w:sz="6" w:space="0" w:color="auto"/>
            </w:tcBorders>
          </w:tcPr>
          <w:p w14:paraId="379E69FC" w14:textId="77777777" w:rsidR="005B4780" w:rsidRPr="00CA6574" w:rsidRDefault="005B4780" w:rsidP="005B4780">
            <w:pPr>
              <w:pStyle w:val="Level111G1"/>
            </w:pPr>
          </w:p>
        </w:tc>
        <w:tc>
          <w:tcPr>
            <w:tcW w:w="1001" w:type="dxa"/>
            <w:tcBorders>
              <w:left w:val="single" w:sz="6" w:space="0" w:color="auto"/>
            </w:tcBorders>
          </w:tcPr>
          <w:p w14:paraId="5354B725" w14:textId="77777777" w:rsidR="005B4780" w:rsidRPr="00CA6574" w:rsidRDefault="005B4780" w:rsidP="005B4780">
            <w:pPr>
              <w:pStyle w:val="Level111G1"/>
            </w:pPr>
          </w:p>
        </w:tc>
      </w:tr>
      <w:tr w:rsidR="005B4780" w:rsidRPr="00CA6574" w14:paraId="6DBF29FE" w14:textId="77777777" w:rsidTr="00704AE5">
        <w:trPr>
          <w:cantSplit/>
          <w:trHeight w:val="531"/>
        </w:trPr>
        <w:tc>
          <w:tcPr>
            <w:tcW w:w="6948" w:type="dxa"/>
          </w:tcPr>
          <w:p w14:paraId="307F3802" w14:textId="15DBA888" w:rsidR="005B4780" w:rsidRPr="00CA6574" w:rsidRDefault="005B4780" w:rsidP="005B4780">
            <w:pPr>
              <w:pStyle w:val="Level111G1"/>
            </w:pPr>
            <w:r w:rsidRPr="00CA6574">
              <w:tab/>
              <w:t>2.2</w:t>
            </w:r>
            <w:r w:rsidRPr="00CA6574">
              <w:tab/>
              <w:t xml:space="preserve">Determine whether the client has already reached an agreement </w:t>
            </w:r>
            <w:r w:rsidR="002042A7">
              <w:t>in</w:t>
            </w:r>
            <w:r w:rsidR="003F5576">
              <w:t xml:space="preserve"> </w:t>
            </w:r>
            <w:r w:rsidR="002042A7">
              <w:t xml:space="preserve">principle </w:t>
            </w:r>
            <w:r w:rsidRPr="00CA6574">
              <w:t>with the vendor concerning the general terms of the transaction. If not</w:t>
            </w:r>
            <w:r>
              <w:t>:</w:t>
            </w:r>
          </w:p>
        </w:tc>
        <w:tc>
          <w:tcPr>
            <w:tcW w:w="450" w:type="dxa"/>
            <w:tcBorders>
              <w:left w:val="single" w:sz="6" w:space="0" w:color="auto"/>
            </w:tcBorders>
          </w:tcPr>
          <w:p w14:paraId="1B946132" w14:textId="77777777" w:rsidR="005B4780" w:rsidRPr="00CA6574" w:rsidRDefault="005B4780" w:rsidP="005B4780">
            <w:pPr>
              <w:pStyle w:val="Level111G1"/>
            </w:pPr>
          </w:p>
        </w:tc>
        <w:tc>
          <w:tcPr>
            <w:tcW w:w="450" w:type="dxa"/>
            <w:tcBorders>
              <w:left w:val="single" w:sz="6" w:space="0" w:color="auto"/>
            </w:tcBorders>
          </w:tcPr>
          <w:p w14:paraId="2661850C" w14:textId="77777777" w:rsidR="005B4780" w:rsidRPr="00CA6574" w:rsidRDefault="005B4780" w:rsidP="005B4780">
            <w:pPr>
              <w:pStyle w:val="Level111G1"/>
            </w:pPr>
          </w:p>
        </w:tc>
        <w:tc>
          <w:tcPr>
            <w:tcW w:w="450" w:type="dxa"/>
            <w:tcBorders>
              <w:left w:val="single" w:sz="6" w:space="0" w:color="auto"/>
            </w:tcBorders>
          </w:tcPr>
          <w:p w14:paraId="0639D496" w14:textId="77777777" w:rsidR="005B4780" w:rsidRPr="00CA6574" w:rsidRDefault="005B4780" w:rsidP="005B4780">
            <w:pPr>
              <w:pStyle w:val="Level111G1"/>
            </w:pPr>
          </w:p>
        </w:tc>
        <w:tc>
          <w:tcPr>
            <w:tcW w:w="1001" w:type="dxa"/>
            <w:tcBorders>
              <w:left w:val="single" w:sz="6" w:space="0" w:color="auto"/>
            </w:tcBorders>
          </w:tcPr>
          <w:p w14:paraId="739D2CF2" w14:textId="77777777" w:rsidR="005B4780" w:rsidRPr="00CA6574" w:rsidRDefault="005B4780" w:rsidP="005B4780">
            <w:pPr>
              <w:pStyle w:val="Level111G1"/>
            </w:pPr>
          </w:p>
        </w:tc>
        <w:tc>
          <w:tcPr>
            <w:tcW w:w="1001" w:type="dxa"/>
            <w:tcBorders>
              <w:left w:val="single" w:sz="6" w:space="0" w:color="auto"/>
            </w:tcBorders>
          </w:tcPr>
          <w:p w14:paraId="6FD2316E" w14:textId="77777777" w:rsidR="005B4780" w:rsidRPr="00CA6574" w:rsidRDefault="005B4780" w:rsidP="005B4780">
            <w:pPr>
              <w:pStyle w:val="Level111G1"/>
            </w:pPr>
          </w:p>
        </w:tc>
      </w:tr>
      <w:tr w:rsidR="005B4780" w:rsidRPr="00CA6574" w14:paraId="7B3726E6" w14:textId="77777777" w:rsidTr="006668A3">
        <w:trPr>
          <w:cantSplit/>
          <w:trHeight w:val="657"/>
        </w:trPr>
        <w:tc>
          <w:tcPr>
            <w:tcW w:w="6948" w:type="dxa"/>
          </w:tcPr>
          <w:p w14:paraId="59BAD7CE" w14:textId="151891F6" w:rsidR="005B4780" w:rsidRPr="00CA6574" w:rsidRDefault="005B4780" w:rsidP="005B4780">
            <w:pPr>
              <w:pStyle w:val="Level111G1"/>
              <w:tabs>
                <w:tab w:val="clear" w:pos="810"/>
                <w:tab w:val="clear" w:pos="900"/>
                <w:tab w:val="right" w:pos="1080"/>
                <w:tab w:val="left" w:pos="1170"/>
              </w:tabs>
              <w:ind w:left="1170" w:hanging="1170"/>
            </w:pPr>
            <w:r>
              <w:tab/>
              <w:t>.1</w:t>
            </w:r>
            <w:r>
              <w:tab/>
              <w:t>A</w:t>
            </w:r>
            <w:r w:rsidRPr="00CA6574">
              <w:t>dvise the client regarding the possibility of structuring the transaction as an asset purchase (if appropriate in the circumstances). Consider the tax consequences of purchasing shares versus purchasing assets</w:t>
            </w:r>
            <w:r w:rsidR="00804B6F">
              <w:t xml:space="preserve"> and consider discussing same with the client’s accountant</w:t>
            </w:r>
            <w:r w:rsidRPr="00CA6574">
              <w:t>.</w:t>
            </w:r>
          </w:p>
        </w:tc>
        <w:tc>
          <w:tcPr>
            <w:tcW w:w="450" w:type="dxa"/>
            <w:tcBorders>
              <w:left w:val="single" w:sz="6" w:space="0" w:color="auto"/>
            </w:tcBorders>
          </w:tcPr>
          <w:p w14:paraId="6FF5CE47" w14:textId="77777777" w:rsidR="005B4780" w:rsidRPr="00CA6574" w:rsidRDefault="005B4780" w:rsidP="005B4780">
            <w:pPr>
              <w:pStyle w:val="Level111G1"/>
            </w:pPr>
          </w:p>
        </w:tc>
        <w:tc>
          <w:tcPr>
            <w:tcW w:w="450" w:type="dxa"/>
            <w:tcBorders>
              <w:left w:val="single" w:sz="6" w:space="0" w:color="auto"/>
            </w:tcBorders>
          </w:tcPr>
          <w:p w14:paraId="43F76ED5" w14:textId="77777777" w:rsidR="005B4780" w:rsidRPr="00CA6574" w:rsidRDefault="005B4780" w:rsidP="005B4780">
            <w:pPr>
              <w:pStyle w:val="Level111G1"/>
            </w:pPr>
          </w:p>
        </w:tc>
        <w:tc>
          <w:tcPr>
            <w:tcW w:w="450" w:type="dxa"/>
            <w:tcBorders>
              <w:left w:val="single" w:sz="6" w:space="0" w:color="auto"/>
            </w:tcBorders>
          </w:tcPr>
          <w:p w14:paraId="0663B095" w14:textId="77777777" w:rsidR="005B4780" w:rsidRPr="00CA6574" w:rsidRDefault="005B4780" w:rsidP="005B4780">
            <w:pPr>
              <w:pStyle w:val="Level111G1"/>
            </w:pPr>
          </w:p>
        </w:tc>
        <w:tc>
          <w:tcPr>
            <w:tcW w:w="1001" w:type="dxa"/>
            <w:tcBorders>
              <w:left w:val="single" w:sz="6" w:space="0" w:color="auto"/>
            </w:tcBorders>
          </w:tcPr>
          <w:p w14:paraId="3979F761" w14:textId="77777777" w:rsidR="005B4780" w:rsidRPr="00CA6574" w:rsidRDefault="005B4780" w:rsidP="005B4780">
            <w:pPr>
              <w:pStyle w:val="Level111G1"/>
            </w:pPr>
          </w:p>
        </w:tc>
        <w:tc>
          <w:tcPr>
            <w:tcW w:w="1001" w:type="dxa"/>
            <w:tcBorders>
              <w:left w:val="single" w:sz="6" w:space="0" w:color="auto"/>
            </w:tcBorders>
          </w:tcPr>
          <w:p w14:paraId="1714275F" w14:textId="77777777" w:rsidR="005B4780" w:rsidRPr="00CA6574" w:rsidRDefault="005B4780" w:rsidP="005B4780">
            <w:pPr>
              <w:pStyle w:val="Level111G1"/>
            </w:pPr>
          </w:p>
        </w:tc>
      </w:tr>
      <w:tr w:rsidR="005B4780" w:rsidRPr="00F73E81" w14:paraId="4FB28ABB" w14:textId="77777777" w:rsidTr="007B77B0">
        <w:trPr>
          <w:cantSplit/>
          <w:trHeight w:val="1134"/>
        </w:trPr>
        <w:tc>
          <w:tcPr>
            <w:tcW w:w="6948" w:type="dxa"/>
          </w:tcPr>
          <w:p w14:paraId="0DDC3906" w14:textId="1BDB99A1" w:rsidR="005B4780" w:rsidRPr="00CA6574" w:rsidRDefault="005B4780">
            <w:pPr>
              <w:pStyle w:val="Level111G1"/>
              <w:tabs>
                <w:tab w:val="clear" w:pos="810"/>
                <w:tab w:val="clear" w:pos="900"/>
                <w:tab w:val="right" w:pos="1080"/>
                <w:tab w:val="left" w:pos="1170"/>
              </w:tabs>
              <w:ind w:left="1170" w:hanging="1170"/>
            </w:pPr>
            <w:r>
              <w:tab/>
              <w:t>.2</w:t>
            </w:r>
            <w:r>
              <w:tab/>
            </w:r>
            <w:r w:rsidRPr="00CA6574">
              <w:t xml:space="preserve">Consider signing a confidentiality agreement to allow </w:t>
            </w:r>
            <w:r>
              <w:t>negotiations to commence</w:t>
            </w:r>
            <w:r w:rsidRPr="00CA6574">
              <w:t>. If the client and vendor are competitors, consider safeguards in sharing</w:t>
            </w:r>
            <w:r>
              <w:t xml:space="preserve"> competitively sensitive</w:t>
            </w:r>
            <w:r w:rsidRPr="00CA6574">
              <w:t xml:space="preserve"> information. Sharing competitively sensitive information can be problematic, particularly if the transaction fails to close. Consider the implications of the </w:t>
            </w:r>
            <w:r w:rsidRPr="00F73E81">
              <w:rPr>
                <w:i/>
              </w:rPr>
              <w:t>Competition Act</w:t>
            </w:r>
            <w:r w:rsidR="003F5576" w:rsidRPr="00DF1538">
              <w:t>,</w:t>
            </w:r>
            <w:r w:rsidRPr="00F73E81">
              <w:t xml:space="preserve"> </w:t>
            </w:r>
            <w:r w:rsidR="008145C6">
              <w:t xml:space="preserve">including the recent amendments </w:t>
            </w:r>
            <w:r w:rsidR="003F5576">
              <w:t xml:space="preserve">referenced </w:t>
            </w:r>
            <w:r w:rsidR="00D70225">
              <w:t>at</w:t>
            </w:r>
            <w:r w:rsidR="003F5576">
              <w:t xml:space="preserve"> “New developments” </w:t>
            </w:r>
            <w:r w:rsidR="008145C6">
              <w:t>above</w:t>
            </w:r>
            <w:r w:rsidRPr="00F73E81">
              <w:t>.</w:t>
            </w:r>
            <w:r w:rsidR="008145C6">
              <w:t xml:space="preserve"> </w:t>
            </w:r>
          </w:p>
        </w:tc>
        <w:tc>
          <w:tcPr>
            <w:tcW w:w="450" w:type="dxa"/>
            <w:tcBorders>
              <w:left w:val="single" w:sz="6" w:space="0" w:color="auto"/>
            </w:tcBorders>
          </w:tcPr>
          <w:p w14:paraId="54844B35" w14:textId="77777777" w:rsidR="005B4780" w:rsidRPr="00CA6574" w:rsidRDefault="005B4780" w:rsidP="005B4780">
            <w:pPr>
              <w:pStyle w:val="Level111G1"/>
              <w:tabs>
                <w:tab w:val="left" w:pos="1170"/>
              </w:tabs>
              <w:ind w:left="1170" w:hanging="1170"/>
            </w:pPr>
          </w:p>
        </w:tc>
        <w:tc>
          <w:tcPr>
            <w:tcW w:w="450" w:type="dxa"/>
            <w:tcBorders>
              <w:left w:val="single" w:sz="6" w:space="0" w:color="auto"/>
            </w:tcBorders>
          </w:tcPr>
          <w:p w14:paraId="72461AA6" w14:textId="77777777" w:rsidR="005B4780" w:rsidRPr="00CA6574" w:rsidRDefault="005B4780" w:rsidP="005B4780">
            <w:pPr>
              <w:pStyle w:val="Level111G1"/>
              <w:tabs>
                <w:tab w:val="left" w:pos="1170"/>
              </w:tabs>
              <w:ind w:left="1170" w:hanging="1170"/>
            </w:pPr>
          </w:p>
        </w:tc>
        <w:tc>
          <w:tcPr>
            <w:tcW w:w="450" w:type="dxa"/>
            <w:tcBorders>
              <w:left w:val="single" w:sz="6" w:space="0" w:color="auto"/>
            </w:tcBorders>
          </w:tcPr>
          <w:p w14:paraId="06794FD0" w14:textId="77777777" w:rsidR="005B4780" w:rsidRPr="00CA6574" w:rsidRDefault="005B4780" w:rsidP="005B4780">
            <w:pPr>
              <w:pStyle w:val="Level111G1"/>
              <w:tabs>
                <w:tab w:val="left" w:pos="1170"/>
              </w:tabs>
              <w:ind w:left="1170" w:hanging="1170"/>
            </w:pPr>
          </w:p>
        </w:tc>
        <w:tc>
          <w:tcPr>
            <w:tcW w:w="1001" w:type="dxa"/>
            <w:tcBorders>
              <w:left w:val="single" w:sz="6" w:space="0" w:color="auto"/>
            </w:tcBorders>
          </w:tcPr>
          <w:p w14:paraId="76F79BA0" w14:textId="77777777" w:rsidR="005B4780" w:rsidRPr="00CA6574" w:rsidRDefault="005B4780" w:rsidP="005B4780">
            <w:pPr>
              <w:pStyle w:val="Level111G1"/>
              <w:tabs>
                <w:tab w:val="left" w:pos="1170"/>
              </w:tabs>
              <w:ind w:left="1170" w:hanging="1170"/>
            </w:pPr>
          </w:p>
        </w:tc>
        <w:tc>
          <w:tcPr>
            <w:tcW w:w="1001" w:type="dxa"/>
            <w:tcBorders>
              <w:left w:val="single" w:sz="6" w:space="0" w:color="auto"/>
            </w:tcBorders>
          </w:tcPr>
          <w:p w14:paraId="141A4AC1" w14:textId="77777777" w:rsidR="005B4780" w:rsidRPr="00CA6574" w:rsidRDefault="005B4780" w:rsidP="005B4780">
            <w:pPr>
              <w:pStyle w:val="Level111G1"/>
              <w:tabs>
                <w:tab w:val="left" w:pos="1170"/>
              </w:tabs>
              <w:ind w:left="1170" w:hanging="1170"/>
            </w:pPr>
          </w:p>
        </w:tc>
      </w:tr>
      <w:tr w:rsidR="005B4780" w:rsidRPr="00CA6574" w14:paraId="398AD069" w14:textId="77777777">
        <w:trPr>
          <w:cantSplit/>
        </w:trPr>
        <w:tc>
          <w:tcPr>
            <w:tcW w:w="6948" w:type="dxa"/>
          </w:tcPr>
          <w:p w14:paraId="0F80FFC1" w14:textId="77777777" w:rsidR="005B4780" w:rsidRPr="00CA6574" w:rsidRDefault="005B4780" w:rsidP="005B4780">
            <w:pPr>
              <w:pStyle w:val="Level111G1"/>
              <w:numPr>
                <w:ilvl w:val="1"/>
                <w:numId w:val="11"/>
              </w:numPr>
            </w:pPr>
            <w:r w:rsidRPr="00CA6574">
              <w:t>Determine the client’s objectives and why the client wants to complete this transaction. Will it be integrated into an existing business? Assess any impact on the client’s existing business, if relevant.</w:t>
            </w:r>
            <w:r>
              <w:t xml:space="preserve"> Seek to determine specific risks and regulatory requirements that may be of concern to the purchaser. </w:t>
            </w:r>
          </w:p>
        </w:tc>
        <w:tc>
          <w:tcPr>
            <w:tcW w:w="450" w:type="dxa"/>
            <w:tcBorders>
              <w:left w:val="single" w:sz="6" w:space="0" w:color="auto"/>
            </w:tcBorders>
          </w:tcPr>
          <w:p w14:paraId="62E03E17" w14:textId="77777777" w:rsidR="005B4780" w:rsidRPr="00CA6574" w:rsidRDefault="005B4780" w:rsidP="005B4780">
            <w:pPr>
              <w:pStyle w:val="Level111G1"/>
            </w:pPr>
          </w:p>
        </w:tc>
        <w:tc>
          <w:tcPr>
            <w:tcW w:w="450" w:type="dxa"/>
            <w:tcBorders>
              <w:left w:val="single" w:sz="6" w:space="0" w:color="auto"/>
            </w:tcBorders>
          </w:tcPr>
          <w:p w14:paraId="4FBAF449" w14:textId="77777777" w:rsidR="005B4780" w:rsidRPr="00CA6574" w:rsidRDefault="005B4780" w:rsidP="005B4780">
            <w:pPr>
              <w:pStyle w:val="Level111G1"/>
            </w:pPr>
          </w:p>
        </w:tc>
        <w:tc>
          <w:tcPr>
            <w:tcW w:w="450" w:type="dxa"/>
            <w:tcBorders>
              <w:left w:val="single" w:sz="6" w:space="0" w:color="auto"/>
            </w:tcBorders>
          </w:tcPr>
          <w:p w14:paraId="523A7EFE" w14:textId="77777777" w:rsidR="005B4780" w:rsidRPr="00CA6574" w:rsidRDefault="005B4780" w:rsidP="005B4780">
            <w:pPr>
              <w:pStyle w:val="Level111G1"/>
            </w:pPr>
          </w:p>
        </w:tc>
        <w:tc>
          <w:tcPr>
            <w:tcW w:w="1001" w:type="dxa"/>
            <w:tcBorders>
              <w:left w:val="single" w:sz="6" w:space="0" w:color="auto"/>
            </w:tcBorders>
          </w:tcPr>
          <w:p w14:paraId="2926B463" w14:textId="77777777" w:rsidR="005B4780" w:rsidRPr="00CA6574" w:rsidRDefault="005B4780" w:rsidP="005B4780">
            <w:pPr>
              <w:pStyle w:val="Level111G1"/>
            </w:pPr>
          </w:p>
        </w:tc>
        <w:tc>
          <w:tcPr>
            <w:tcW w:w="1001" w:type="dxa"/>
            <w:tcBorders>
              <w:left w:val="single" w:sz="6" w:space="0" w:color="auto"/>
            </w:tcBorders>
          </w:tcPr>
          <w:p w14:paraId="4CE2F2D6" w14:textId="77777777" w:rsidR="005B4780" w:rsidRPr="00CA6574" w:rsidRDefault="005B4780" w:rsidP="005B4780">
            <w:pPr>
              <w:pStyle w:val="Level111G1"/>
            </w:pPr>
          </w:p>
        </w:tc>
      </w:tr>
      <w:tr w:rsidR="005B4780" w:rsidRPr="00CA6574" w14:paraId="568311EF" w14:textId="77777777" w:rsidTr="007151D0">
        <w:trPr>
          <w:cantSplit/>
          <w:trHeight w:val="1125"/>
        </w:trPr>
        <w:tc>
          <w:tcPr>
            <w:tcW w:w="6948" w:type="dxa"/>
          </w:tcPr>
          <w:p w14:paraId="1D6A2FBA" w14:textId="77777777" w:rsidR="005B4780" w:rsidRPr="00CA6574" w:rsidRDefault="005B4780" w:rsidP="005B4780">
            <w:pPr>
              <w:pStyle w:val="Level111G1"/>
              <w:numPr>
                <w:ilvl w:val="1"/>
                <w:numId w:val="11"/>
              </w:numPr>
            </w:pPr>
            <w:r w:rsidRPr="00CA6574">
              <w:t xml:space="preserve">Consider the name under which the business will be conducted post-closing, to </w:t>
            </w:r>
            <w:r>
              <w:t xml:space="preserve">determine </w:t>
            </w:r>
            <w:r w:rsidRPr="00CA6574">
              <w:t>due diligence regarding trademarks and other intellectual property.</w:t>
            </w:r>
          </w:p>
        </w:tc>
        <w:tc>
          <w:tcPr>
            <w:tcW w:w="450" w:type="dxa"/>
            <w:tcBorders>
              <w:left w:val="single" w:sz="6" w:space="0" w:color="auto"/>
            </w:tcBorders>
          </w:tcPr>
          <w:p w14:paraId="0DB5B569" w14:textId="77777777" w:rsidR="005B4780" w:rsidRPr="00CA6574" w:rsidRDefault="005B4780" w:rsidP="005B4780">
            <w:pPr>
              <w:pStyle w:val="Level111G1"/>
            </w:pPr>
          </w:p>
        </w:tc>
        <w:tc>
          <w:tcPr>
            <w:tcW w:w="450" w:type="dxa"/>
            <w:tcBorders>
              <w:left w:val="single" w:sz="6" w:space="0" w:color="auto"/>
            </w:tcBorders>
          </w:tcPr>
          <w:p w14:paraId="0EFD3186" w14:textId="77777777" w:rsidR="005B4780" w:rsidRPr="00CA6574" w:rsidRDefault="005B4780" w:rsidP="005B4780">
            <w:pPr>
              <w:pStyle w:val="Level111G1"/>
            </w:pPr>
          </w:p>
        </w:tc>
        <w:tc>
          <w:tcPr>
            <w:tcW w:w="450" w:type="dxa"/>
            <w:tcBorders>
              <w:left w:val="single" w:sz="6" w:space="0" w:color="auto"/>
            </w:tcBorders>
          </w:tcPr>
          <w:p w14:paraId="226193E2" w14:textId="77777777" w:rsidR="005B4780" w:rsidRPr="00CA6574" w:rsidRDefault="005B4780" w:rsidP="005B4780">
            <w:pPr>
              <w:pStyle w:val="Level111G1"/>
            </w:pPr>
          </w:p>
        </w:tc>
        <w:tc>
          <w:tcPr>
            <w:tcW w:w="1001" w:type="dxa"/>
            <w:tcBorders>
              <w:left w:val="single" w:sz="6" w:space="0" w:color="auto"/>
            </w:tcBorders>
          </w:tcPr>
          <w:p w14:paraId="14731368" w14:textId="77777777" w:rsidR="005B4780" w:rsidRPr="00CA6574" w:rsidRDefault="005B4780" w:rsidP="005B4780">
            <w:pPr>
              <w:pStyle w:val="Level111G1"/>
            </w:pPr>
          </w:p>
        </w:tc>
        <w:tc>
          <w:tcPr>
            <w:tcW w:w="1001" w:type="dxa"/>
            <w:tcBorders>
              <w:left w:val="single" w:sz="6" w:space="0" w:color="auto"/>
            </w:tcBorders>
          </w:tcPr>
          <w:p w14:paraId="1DBC2924" w14:textId="77777777" w:rsidR="005B4780" w:rsidRPr="00CA6574" w:rsidRDefault="005B4780" w:rsidP="005B4780">
            <w:pPr>
              <w:pStyle w:val="Level111G1"/>
            </w:pPr>
          </w:p>
        </w:tc>
      </w:tr>
      <w:tr w:rsidR="005B4780" w:rsidRPr="00CA6574" w14:paraId="2EA8D6CE" w14:textId="77777777" w:rsidTr="00495C9A">
        <w:trPr>
          <w:cantSplit/>
          <w:trHeight w:val="612"/>
        </w:trPr>
        <w:tc>
          <w:tcPr>
            <w:tcW w:w="6948" w:type="dxa"/>
          </w:tcPr>
          <w:p w14:paraId="7D53DF14" w14:textId="551E95D8" w:rsidR="005B4780" w:rsidRPr="00CA6574" w:rsidRDefault="005B4780" w:rsidP="005B4780">
            <w:pPr>
              <w:pStyle w:val="Level111G1"/>
            </w:pPr>
            <w:r w:rsidRPr="00CA6574">
              <w:lastRenderedPageBreak/>
              <w:tab/>
              <w:t>2.5</w:t>
            </w:r>
            <w:r w:rsidRPr="00CA6574">
              <w:tab/>
              <w:t>Review the financial statements and other information with the client</w:t>
            </w:r>
            <w:r>
              <w:t>, the client’s accountant, and tax advisor (</w:t>
            </w:r>
            <w:r w:rsidR="00804B6F">
              <w:t>assuming</w:t>
            </w:r>
            <w:r>
              <w:t xml:space="preserve"> you are not providing tax advice). </w:t>
            </w:r>
          </w:p>
        </w:tc>
        <w:tc>
          <w:tcPr>
            <w:tcW w:w="450" w:type="dxa"/>
            <w:tcBorders>
              <w:left w:val="single" w:sz="6" w:space="0" w:color="auto"/>
            </w:tcBorders>
          </w:tcPr>
          <w:p w14:paraId="15A1F9A1" w14:textId="77777777" w:rsidR="005B4780" w:rsidRPr="00CA6574" w:rsidRDefault="005B4780" w:rsidP="005B4780">
            <w:pPr>
              <w:pStyle w:val="Level111G1"/>
            </w:pPr>
          </w:p>
        </w:tc>
        <w:tc>
          <w:tcPr>
            <w:tcW w:w="450" w:type="dxa"/>
            <w:tcBorders>
              <w:left w:val="single" w:sz="6" w:space="0" w:color="auto"/>
            </w:tcBorders>
          </w:tcPr>
          <w:p w14:paraId="01F2569B" w14:textId="77777777" w:rsidR="005B4780" w:rsidRPr="00CA6574" w:rsidRDefault="005B4780" w:rsidP="005B4780">
            <w:pPr>
              <w:pStyle w:val="Level111G1"/>
            </w:pPr>
          </w:p>
        </w:tc>
        <w:tc>
          <w:tcPr>
            <w:tcW w:w="450" w:type="dxa"/>
            <w:tcBorders>
              <w:left w:val="single" w:sz="6" w:space="0" w:color="auto"/>
            </w:tcBorders>
          </w:tcPr>
          <w:p w14:paraId="48F125DD" w14:textId="77777777" w:rsidR="005B4780" w:rsidRPr="00CA6574" w:rsidRDefault="005B4780" w:rsidP="005B4780">
            <w:pPr>
              <w:pStyle w:val="Level111G1"/>
            </w:pPr>
          </w:p>
        </w:tc>
        <w:tc>
          <w:tcPr>
            <w:tcW w:w="1001" w:type="dxa"/>
            <w:tcBorders>
              <w:left w:val="single" w:sz="6" w:space="0" w:color="auto"/>
            </w:tcBorders>
          </w:tcPr>
          <w:p w14:paraId="664679E9" w14:textId="77777777" w:rsidR="005B4780" w:rsidRPr="00CA6574" w:rsidRDefault="005B4780" w:rsidP="005B4780">
            <w:pPr>
              <w:pStyle w:val="Level111G1"/>
            </w:pPr>
          </w:p>
        </w:tc>
        <w:tc>
          <w:tcPr>
            <w:tcW w:w="1001" w:type="dxa"/>
            <w:tcBorders>
              <w:left w:val="single" w:sz="6" w:space="0" w:color="auto"/>
            </w:tcBorders>
          </w:tcPr>
          <w:p w14:paraId="38BFBC55" w14:textId="77777777" w:rsidR="005B4780" w:rsidRPr="00CA6574" w:rsidRDefault="005B4780" w:rsidP="005B4780">
            <w:pPr>
              <w:pStyle w:val="Level111G1"/>
            </w:pPr>
          </w:p>
        </w:tc>
      </w:tr>
      <w:tr w:rsidR="005B4780" w:rsidRPr="00CA6574" w14:paraId="68960F80" w14:textId="77777777" w:rsidTr="007151D0">
        <w:trPr>
          <w:cantSplit/>
          <w:trHeight w:val="2682"/>
        </w:trPr>
        <w:tc>
          <w:tcPr>
            <w:tcW w:w="6948" w:type="dxa"/>
          </w:tcPr>
          <w:p w14:paraId="78E9F0C6" w14:textId="11676932" w:rsidR="005B4780" w:rsidRPr="00CA6574" w:rsidRDefault="005B4780" w:rsidP="005B4780">
            <w:pPr>
              <w:pStyle w:val="Level111G1"/>
            </w:pPr>
            <w:r w:rsidRPr="00CA6574">
              <w:tab/>
              <w:t>2.6</w:t>
            </w:r>
            <w:r w:rsidRPr="00CA6574">
              <w:tab/>
              <w:t>Determine the principal elements of the transaction: who is buying what from whom, and for how much</w:t>
            </w:r>
            <w:r>
              <w:t>?</w:t>
            </w:r>
            <w:r w:rsidRPr="00CA6574">
              <w:t xml:space="preserve"> How does the client intend to finance the transaction? Are there any conditions to be met before the deal can proceed </w:t>
            </w:r>
            <w:r w:rsidRPr="00CA6574">
              <w:rPr>
                <w:spacing w:val="-4"/>
              </w:rPr>
              <w:t>(e.g., regulatory approvals)? Are there any third-party consents that need to be obtained (e.g., landlord consents)? Are there any unusual restrictions, covenants</w:t>
            </w:r>
            <w:r>
              <w:rPr>
                <w:spacing w:val="-4"/>
              </w:rPr>
              <w:t>,</w:t>
            </w:r>
            <w:r w:rsidRPr="00CA6574">
              <w:rPr>
                <w:spacing w:val="-4"/>
              </w:rPr>
              <w:t xml:space="preserve"> or conditions that are important to the client? Does the business being conducted by the company involve any particular risks (e.g., environmental), and how are these risks to be allocated between the purchaser and the vendor? Are there any special or unusual procedures that need to be followed (e.g., consultation with </w:t>
            </w:r>
            <w:r>
              <w:rPr>
                <w:spacing w:val="-4"/>
              </w:rPr>
              <w:t>Indigenous</w:t>
            </w:r>
            <w:r w:rsidRPr="00CA6574">
              <w:rPr>
                <w:spacing w:val="-4"/>
              </w:rPr>
              <w:t xml:space="preserve"> groups)?</w:t>
            </w:r>
            <w:r w:rsidRPr="0021164B">
              <w:t xml:space="preserve"> Consider the use of any restrictive covenant against the vendor and the target, and its enforce</w:t>
            </w:r>
            <w:r w:rsidRPr="00624E17">
              <w:t>a</w:t>
            </w:r>
            <w:r w:rsidRPr="0021164B">
              <w:t>bility.</w:t>
            </w:r>
          </w:p>
        </w:tc>
        <w:tc>
          <w:tcPr>
            <w:tcW w:w="450" w:type="dxa"/>
            <w:tcBorders>
              <w:left w:val="single" w:sz="6" w:space="0" w:color="auto"/>
            </w:tcBorders>
          </w:tcPr>
          <w:p w14:paraId="41C6E606" w14:textId="77777777" w:rsidR="005B4780" w:rsidRPr="00CA6574" w:rsidRDefault="005B4780" w:rsidP="005B4780">
            <w:pPr>
              <w:pStyle w:val="Level111G1"/>
            </w:pPr>
          </w:p>
        </w:tc>
        <w:tc>
          <w:tcPr>
            <w:tcW w:w="450" w:type="dxa"/>
            <w:tcBorders>
              <w:left w:val="single" w:sz="6" w:space="0" w:color="auto"/>
            </w:tcBorders>
          </w:tcPr>
          <w:p w14:paraId="06734508" w14:textId="77777777" w:rsidR="005B4780" w:rsidRPr="00CA6574" w:rsidRDefault="005B4780" w:rsidP="005B4780">
            <w:pPr>
              <w:pStyle w:val="Level111G1"/>
            </w:pPr>
          </w:p>
        </w:tc>
        <w:tc>
          <w:tcPr>
            <w:tcW w:w="450" w:type="dxa"/>
            <w:tcBorders>
              <w:left w:val="single" w:sz="6" w:space="0" w:color="auto"/>
            </w:tcBorders>
          </w:tcPr>
          <w:p w14:paraId="0F2BF703" w14:textId="77777777" w:rsidR="005B4780" w:rsidRPr="00CA6574" w:rsidRDefault="005B4780" w:rsidP="005B4780">
            <w:pPr>
              <w:pStyle w:val="Level111G1"/>
            </w:pPr>
          </w:p>
        </w:tc>
        <w:tc>
          <w:tcPr>
            <w:tcW w:w="1001" w:type="dxa"/>
            <w:tcBorders>
              <w:left w:val="single" w:sz="6" w:space="0" w:color="auto"/>
            </w:tcBorders>
          </w:tcPr>
          <w:p w14:paraId="24AFDCEC" w14:textId="77777777" w:rsidR="005B4780" w:rsidRPr="00CA6574" w:rsidRDefault="005B4780" w:rsidP="005B4780">
            <w:pPr>
              <w:pStyle w:val="Level111G1"/>
            </w:pPr>
          </w:p>
        </w:tc>
        <w:tc>
          <w:tcPr>
            <w:tcW w:w="1001" w:type="dxa"/>
            <w:tcBorders>
              <w:left w:val="single" w:sz="6" w:space="0" w:color="auto"/>
            </w:tcBorders>
          </w:tcPr>
          <w:p w14:paraId="09BB115F" w14:textId="77777777" w:rsidR="005B4780" w:rsidRPr="00CA6574" w:rsidRDefault="005B4780" w:rsidP="005B4780">
            <w:pPr>
              <w:pStyle w:val="Level111G1"/>
            </w:pPr>
          </w:p>
        </w:tc>
      </w:tr>
      <w:tr w:rsidR="005B4780" w:rsidRPr="00CA6574" w14:paraId="4190FB7D" w14:textId="77777777" w:rsidTr="00CE68AC">
        <w:trPr>
          <w:cantSplit/>
          <w:trHeight w:val="1071"/>
        </w:trPr>
        <w:tc>
          <w:tcPr>
            <w:tcW w:w="6948" w:type="dxa"/>
          </w:tcPr>
          <w:p w14:paraId="3F8C8C5F" w14:textId="7704BB54" w:rsidR="005B4780" w:rsidRPr="00CA6574" w:rsidRDefault="005B4780" w:rsidP="005B4780">
            <w:pPr>
              <w:pStyle w:val="Level111G1"/>
            </w:pPr>
            <w:r>
              <w:tab/>
              <w:t>2.7</w:t>
            </w:r>
            <w:r>
              <w:tab/>
            </w:r>
            <w:r w:rsidRPr="006E05F8">
              <w:t>If you are not in a position to act, advise the client. Make a record of the advice given, and file your notes. Send a non-engagement letter (for samples, see the Law Society website at</w:t>
            </w:r>
            <w:r>
              <w:t xml:space="preserve"> </w:t>
            </w:r>
            <w:hyperlink r:id="rId19" w:history="1">
              <w:r w:rsidR="00C47C89" w:rsidRPr="006F650D">
                <w:rPr>
                  <w:rStyle w:val="Hyperlink"/>
                </w:rPr>
                <w:t>www.lawsociety.bc.ca/Website/media/</w:t>
              </w:r>
              <w:r w:rsidR="00C47C89" w:rsidRPr="006F650D">
                <w:rPr>
                  <w:rStyle w:val="Hyperlink"/>
                </w:rPr>
                <w:br/>
                <w:t>Shared/docs/practice/resources/Ltrs-NonEngagement.pdf</w:t>
              </w:r>
            </w:hyperlink>
            <w:r w:rsidR="00C47C89">
              <w:rPr>
                <w:color w:val="0000FF"/>
                <w:u w:val="single"/>
              </w:rPr>
              <w:t xml:space="preserve"> </w:t>
            </w:r>
            <w:r w:rsidR="0074515D">
              <w:t>(PDF)</w:t>
            </w:r>
            <w:hyperlink w:history="1"/>
            <w:r w:rsidRPr="006E05F8">
              <w:t>).</w:t>
            </w:r>
          </w:p>
        </w:tc>
        <w:tc>
          <w:tcPr>
            <w:tcW w:w="450" w:type="dxa"/>
            <w:tcBorders>
              <w:left w:val="single" w:sz="6" w:space="0" w:color="auto"/>
            </w:tcBorders>
          </w:tcPr>
          <w:p w14:paraId="0DF1FC19" w14:textId="77777777" w:rsidR="005B4780" w:rsidRPr="00CA6574" w:rsidRDefault="005B4780" w:rsidP="005B4780">
            <w:pPr>
              <w:pStyle w:val="Level111G1"/>
            </w:pPr>
          </w:p>
        </w:tc>
        <w:tc>
          <w:tcPr>
            <w:tcW w:w="450" w:type="dxa"/>
            <w:tcBorders>
              <w:left w:val="single" w:sz="6" w:space="0" w:color="auto"/>
            </w:tcBorders>
          </w:tcPr>
          <w:p w14:paraId="1760F306" w14:textId="77777777" w:rsidR="005B4780" w:rsidRPr="00CA6574" w:rsidRDefault="005B4780" w:rsidP="005B4780">
            <w:pPr>
              <w:pStyle w:val="Level111G1"/>
            </w:pPr>
          </w:p>
        </w:tc>
        <w:tc>
          <w:tcPr>
            <w:tcW w:w="450" w:type="dxa"/>
            <w:tcBorders>
              <w:left w:val="single" w:sz="6" w:space="0" w:color="auto"/>
            </w:tcBorders>
          </w:tcPr>
          <w:p w14:paraId="7D57D989" w14:textId="77777777" w:rsidR="005B4780" w:rsidRPr="00CA6574" w:rsidRDefault="005B4780" w:rsidP="005B4780">
            <w:pPr>
              <w:pStyle w:val="Level111G1"/>
            </w:pPr>
          </w:p>
        </w:tc>
        <w:tc>
          <w:tcPr>
            <w:tcW w:w="1001" w:type="dxa"/>
            <w:tcBorders>
              <w:left w:val="single" w:sz="6" w:space="0" w:color="auto"/>
            </w:tcBorders>
          </w:tcPr>
          <w:p w14:paraId="2E414AFE" w14:textId="77777777" w:rsidR="005B4780" w:rsidRPr="00CA6574" w:rsidRDefault="005B4780" w:rsidP="005B4780">
            <w:pPr>
              <w:pStyle w:val="Level111G1"/>
            </w:pPr>
          </w:p>
        </w:tc>
        <w:tc>
          <w:tcPr>
            <w:tcW w:w="1001" w:type="dxa"/>
            <w:tcBorders>
              <w:left w:val="single" w:sz="6" w:space="0" w:color="auto"/>
            </w:tcBorders>
          </w:tcPr>
          <w:p w14:paraId="19E6AD3F" w14:textId="77777777" w:rsidR="005B4780" w:rsidRPr="00CA6574" w:rsidRDefault="005B4780" w:rsidP="005B4780">
            <w:pPr>
              <w:pStyle w:val="Level111G1"/>
            </w:pPr>
          </w:p>
        </w:tc>
      </w:tr>
      <w:tr w:rsidR="005B4780" w:rsidRPr="00CA6574" w14:paraId="3B491629" w14:textId="77777777">
        <w:trPr>
          <w:cantSplit/>
        </w:trPr>
        <w:tc>
          <w:tcPr>
            <w:tcW w:w="6948" w:type="dxa"/>
          </w:tcPr>
          <w:p w14:paraId="720CCDB0" w14:textId="77777777" w:rsidR="005B4780" w:rsidRPr="00CA6574" w:rsidRDefault="005B4780" w:rsidP="005B4780">
            <w:pPr>
              <w:pStyle w:val="NumberedheadingGH"/>
            </w:pPr>
            <w:r w:rsidRPr="00CA6574">
              <w:t>3.</w:t>
            </w:r>
            <w:r w:rsidRPr="00CA6574">
              <w:tab/>
              <w:t>AFTER THE INITIAL INTERVIEW</w:t>
            </w:r>
          </w:p>
        </w:tc>
        <w:tc>
          <w:tcPr>
            <w:tcW w:w="450" w:type="dxa"/>
            <w:tcBorders>
              <w:left w:val="single" w:sz="6" w:space="0" w:color="auto"/>
            </w:tcBorders>
          </w:tcPr>
          <w:p w14:paraId="703BCCA0" w14:textId="77777777" w:rsidR="005B4780" w:rsidRPr="00CA6574" w:rsidRDefault="005B4780" w:rsidP="005B4780">
            <w:pPr>
              <w:pStyle w:val="NumberedheadingGH"/>
            </w:pPr>
          </w:p>
        </w:tc>
        <w:tc>
          <w:tcPr>
            <w:tcW w:w="450" w:type="dxa"/>
            <w:tcBorders>
              <w:left w:val="single" w:sz="6" w:space="0" w:color="auto"/>
            </w:tcBorders>
          </w:tcPr>
          <w:p w14:paraId="41260159" w14:textId="77777777" w:rsidR="005B4780" w:rsidRPr="00CA6574" w:rsidRDefault="005B4780" w:rsidP="005B4780">
            <w:pPr>
              <w:pStyle w:val="NumberedheadingGH"/>
            </w:pPr>
          </w:p>
        </w:tc>
        <w:tc>
          <w:tcPr>
            <w:tcW w:w="450" w:type="dxa"/>
            <w:tcBorders>
              <w:left w:val="single" w:sz="6" w:space="0" w:color="auto"/>
            </w:tcBorders>
          </w:tcPr>
          <w:p w14:paraId="6A0E8A79" w14:textId="77777777" w:rsidR="005B4780" w:rsidRPr="00CA6574" w:rsidRDefault="005B4780" w:rsidP="005B4780">
            <w:pPr>
              <w:pStyle w:val="NumberedheadingGH"/>
            </w:pPr>
          </w:p>
        </w:tc>
        <w:tc>
          <w:tcPr>
            <w:tcW w:w="1001" w:type="dxa"/>
            <w:tcBorders>
              <w:left w:val="single" w:sz="6" w:space="0" w:color="auto"/>
            </w:tcBorders>
          </w:tcPr>
          <w:p w14:paraId="4AE32750" w14:textId="77777777" w:rsidR="005B4780" w:rsidRPr="00CA6574" w:rsidRDefault="005B4780" w:rsidP="005B4780">
            <w:pPr>
              <w:pStyle w:val="NumberedheadingGH"/>
            </w:pPr>
          </w:p>
        </w:tc>
        <w:tc>
          <w:tcPr>
            <w:tcW w:w="1001" w:type="dxa"/>
            <w:tcBorders>
              <w:left w:val="single" w:sz="6" w:space="0" w:color="auto"/>
            </w:tcBorders>
          </w:tcPr>
          <w:p w14:paraId="0767FC5C" w14:textId="77777777" w:rsidR="005B4780" w:rsidRPr="00CA6574" w:rsidRDefault="005B4780" w:rsidP="005B4780">
            <w:pPr>
              <w:pStyle w:val="NumberedheadingGH"/>
            </w:pPr>
          </w:p>
        </w:tc>
      </w:tr>
      <w:tr w:rsidR="005B4780" w:rsidRPr="00CA6574" w14:paraId="6F8371A9" w14:textId="77777777" w:rsidTr="00070003">
        <w:trPr>
          <w:cantSplit/>
          <w:trHeight w:val="855"/>
        </w:trPr>
        <w:tc>
          <w:tcPr>
            <w:tcW w:w="6948" w:type="dxa"/>
          </w:tcPr>
          <w:p w14:paraId="7DE3FA55" w14:textId="17EBD829" w:rsidR="005B4780" w:rsidRPr="00CA6574" w:rsidRDefault="005B4780" w:rsidP="005B4780">
            <w:pPr>
              <w:pStyle w:val="Level111G1"/>
            </w:pPr>
            <w:r w:rsidRPr="00CA6574">
              <w:tab/>
              <w:t>3.1</w:t>
            </w:r>
            <w:r w:rsidRPr="00CA6574">
              <w:tab/>
            </w:r>
            <w:r>
              <w:t xml:space="preserve">Confirm your retainer. Refer to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w:t>
            </w:r>
            <w:r w:rsidR="0046711C">
              <w:br/>
            </w:r>
            <w:r>
              <w:t>(A-2) checklist.</w:t>
            </w:r>
            <w:r w:rsidRPr="00CA6574">
              <w:t xml:space="preserve"> </w:t>
            </w:r>
            <w:r>
              <w:t>Confirm compliance with Law Society Rules 3-98 to 3-110 on client identification and verification (see item 1.4 in this checklist).</w:t>
            </w:r>
          </w:p>
        </w:tc>
        <w:tc>
          <w:tcPr>
            <w:tcW w:w="450" w:type="dxa"/>
            <w:tcBorders>
              <w:left w:val="single" w:sz="6" w:space="0" w:color="auto"/>
            </w:tcBorders>
          </w:tcPr>
          <w:p w14:paraId="2E078E1C" w14:textId="77777777" w:rsidR="005B4780" w:rsidRPr="00CA6574" w:rsidRDefault="005B4780" w:rsidP="005B4780">
            <w:pPr>
              <w:pStyle w:val="Level111G1"/>
            </w:pPr>
          </w:p>
        </w:tc>
        <w:tc>
          <w:tcPr>
            <w:tcW w:w="450" w:type="dxa"/>
            <w:tcBorders>
              <w:left w:val="single" w:sz="6" w:space="0" w:color="auto"/>
            </w:tcBorders>
          </w:tcPr>
          <w:p w14:paraId="72E38BFB" w14:textId="77777777" w:rsidR="005B4780" w:rsidRPr="00CA6574" w:rsidRDefault="005B4780" w:rsidP="005B4780">
            <w:pPr>
              <w:pStyle w:val="Level111G1"/>
            </w:pPr>
          </w:p>
        </w:tc>
        <w:tc>
          <w:tcPr>
            <w:tcW w:w="450" w:type="dxa"/>
            <w:tcBorders>
              <w:left w:val="single" w:sz="6" w:space="0" w:color="auto"/>
            </w:tcBorders>
          </w:tcPr>
          <w:p w14:paraId="1E7E04C9" w14:textId="77777777" w:rsidR="005B4780" w:rsidRPr="00CA6574" w:rsidRDefault="005B4780" w:rsidP="005B4780">
            <w:pPr>
              <w:pStyle w:val="Level111G1"/>
            </w:pPr>
          </w:p>
        </w:tc>
        <w:tc>
          <w:tcPr>
            <w:tcW w:w="1001" w:type="dxa"/>
            <w:tcBorders>
              <w:left w:val="single" w:sz="6" w:space="0" w:color="auto"/>
            </w:tcBorders>
          </w:tcPr>
          <w:p w14:paraId="638A5C5F" w14:textId="77777777" w:rsidR="005B4780" w:rsidRPr="00CA6574" w:rsidRDefault="005B4780" w:rsidP="005B4780">
            <w:pPr>
              <w:pStyle w:val="Level111G1"/>
            </w:pPr>
          </w:p>
        </w:tc>
        <w:tc>
          <w:tcPr>
            <w:tcW w:w="1001" w:type="dxa"/>
            <w:tcBorders>
              <w:left w:val="single" w:sz="6" w:space="0" w:color="auto"/>
            </w:tcBorders>
          </w:tcPr>
          <w:p w14:paraId="4E06A20B" w14:textId="77777777" w:rsidR="005B4780" w:rsidRPr="00CA6574" w:rsidRDefault="005B4780" w:rsidP="005B4780">
            <w:pPr>
              <w:pStyle w:val="Level111G1"/>
            </w:pPr>
          </w:p>
        </w:tc>
      </w:tr>
      <w:tr w:rsidR="005B4780" w:rsidRPr="00CA6574" w14:paraId="76E86381" w14:textId="77777777" w:rsidTr="00070003">
        <w:trPr>
          <w:cantSplit/>
          <w:trHeight w:val="810"/>
        </w:trPr>
        <w:tc>
          <w:tcPr>
            <w:tcW w:w="6948" w:type="dxa"/>
          </w:tcPr>
          <w:p w14:paraId="20AC4F4A" w14:textId="646E42AB" w:rsidR="005B4780" w:rsidRPr="00CA6574" w:rsidRDefault="005B4780" w:rsidP="005B4780">
            <w:pPr>
              <w:pStyle w:val="Level111G1"/>
            </w:pPr>
            <w:r w:rsidRPr="00CA6574">
              <w:tab/>
              <w:t>3.2</w:t>
            </w:r>
            <w:r w:rsidRPr="00CA6574">
              <w:tab/>
            </w:r>
            <w:r w:rsidRPr="00D84E94">
              <w:t>If the client is a company, verify who has the authorit</w:t>
            </w:r>
            <w:r w:rsidRPr="00BD0AEA">
              <w:t>y to give instructions</w:t>
            </w:r>
            <w:r>
              <w:t xml:space="preserve"> </w:t>
            </w:r>
            <w:r w:rsidRPr="006C1F3A">
              <w:t>(</w:t>
            </w:r>
            <w:r w:rsidRPr="00837850">
              <w:rPr>
                <w:i/>
              </w:rPr>
              <w:t>BC Code</w:t>
            </w:r>
            <w:r w:rsidRPr="0060278E">
              <w:t>, rule 3.2-3 Commentary [1])</w:t>
            </w:r>
            <w:r w:rsidRPr="00BD0AEA">
              <w:t>. Consider getting a directors’ resolu</w:t>
            </w:r>
            <w:r w:rsidRPr="00D74CE0">
              <w:t>tion confirming your retainer and giving one director or officer the authority to instruct you.</w:t>
            </w:r>
          </w:p>
        </w:tc>
        <w:tc>
          <w:tcPr>
            <w:tcW w:w="450" w:type="dxa"/>
            <w:tcBorders>
              <w:left w:val="single" w:sz="6" w:space="0" w:color="auto"/>
            </w:tcBorders>
          </w:tcPr>
          <w:p w14:paraId="0D6A9D22" w14:textId="77777777" w:rsidR="005B4780" w:rsidRPr="00CA6574" w:rsidRDefault="005B4780" w:rsidP="005B4780">
            <w:pPr>
              <w:pStyle w:val="Level111G1"/>
            </w:pPr>
          </w:p>
        </w:tc>
        <w:tc>
          <w:tcPr>
            <w:tcW w:w="450" w:type="dxa"/>
            <w:tcBorders>
              <w:left w:val="single" w:sz="6" w:space="0" w:color="auto"/>
            </w:tcBorders>
          </w:tcPr>
          <w:p w14:paraId="4E1ACD42" w14:textId="77777777" w:rsidR="005B4780" w:rsidRPr="00CA6574" w:rsidRDefault="005B4780" w:rsidP="005B4780">
            <w:pPr>
              <w:pStyle w:val="Level111G1"/>
            </w:pPr>
          </w:p>
        </w:tc>
        <w:tc>
          <w:tcPr>
            <w:tcW w:w="450" w:type="dxa"/>
            <w:tcBorders>
              <w:left w:val="single" w:sz="6" w:space="0" w:color="auto"/>
            </w:tcBorders>
          </w:tcPr>
          <w:p w14:paraId="754147BF" w14:textId="77777777" w:rsidR="005B4780" w:rsidRPr="00CA6574" w:rsidRDefault="005B4780" w:rsidP="005B4780">
            <w:pPr>
              <w:pStyle w:val="Level111G1"/>
            </w:pPr>
          </w:p>
        </w:tc>
        <w:tc>
          <w:tcPr>
            <w:tcW w:w="1001" w:type="dxa"/>
            <w:tcBorders>
              <w:left w:val="single" w:sz="6" w:space="0" w:color="auto"/>
            </w:tcBorders>
          </w:tcPr>
          <w:p w14:paraId="646A645E" w14:textId="77777777" w:rsidR="005B4780" w:rsidRPr="00CA6574" w:rsidRDefault="005B4780" w:rsidP="005B4780">
            <w:pPr>
              <w:pStyle w:val="Level111G1"/>
            </w:pPr>
          </w:p>
        </w:tc>
        <w:tc>
          <w:tcPr>
            <w:tcW w:w="1001" w:type="dxa"/>
            <w:tcBorders>
              <w:left w:val="single" w:sz="6" w:space="0" w:color="auto"/>
            </w:tcBorders>
          </w:tcPr>
          <w:p w14:paraId="60995F42" w14:textId="77777777" w:rsidR="005B4780" w:rsidRPr="00CA6574" w:rsidRDefault="005B4780" w:rsidP="005B4780">
            <w:pPr>
              <w:pStyle w:val="Level111G1"/>
            </w:pPr>
          </w:p>
        </w:tc>
      </w:tr>
      <w:tr w:rsidR="005B4780" w:rsidRPr="00CA6574" w14:paraId="323DFFDB" w14:textId="77777777" w:rsidTr="006668A3">
        <w:trPr>
          <w:cantSplit/>
          <w:trHeight w:val="1332"/>
        </w:trPr>
        <w:tc>
          <w:tcPr>
            <w:tcW w:w="6948" w:type="dxa"/>
          </w:tcPr>
          <w:p w14:paraId="4C3E47B8" w14:textId="77777777" w:rsidR="005B4780" w:rsidRPr="00CA6574" w:rsidRDefault="005B4780" w:rsidP="005B4780">
            <w:pPr>
              <w:pStyle w:val="Level111G1"/>
            </w:pPr>
            <w:r w:rsidRPr="00CA6574">
              <w:tab/>
              <w:t>3.3</w:t>
            </w:r>
            <w:r w:rsidRPr="00CA6574">
              <w:tab/>
              <w:t>If the client has not reached a tentative agreement with the vendor, draft a letter of intent outlining the transaction in clear terms. Consider whether the client wishes the letter of intent (</w:t>
            </w:r>
            <w:r>
              <w:t>or any parts of it</w:t>
            </w:r>
            <w:r w:rsidRPr="00CA6574">
              <w:t xml:space="preserve">) to be binding. Review the letter with the client to ensure that it reflects </w:t>
            </w:r>
            <w:r>
              <w:t>their</w:t>
            </w:r>
            <w:r w:rsidRPr="00CA6574">
              <w:t xml:space="preserve"> intentions. Forward the letter to the vendor. Negotiate, if so instructed.</w:t>
            </w:r>
          </w:p>
        </w:tc>
        <w:tc>
          <w:tcPr>
            <w:tcW w:w="450" w:type="dxa"/>
            <w:tcBorders>
              <w:left w:val="single" w:sz="6" w:space="0" w:color="auto"/>
            </w:tcBorders>
          </w:tcPr>
          <w:p w14:paraId="0C52416D" w14:textId="77777777" w:rsidR="005B4780" w:rsidRPr="00CA6574" w:rsidRDefault="005B4780" w:rsidP="005B4780">
            <w:pPr>
              <w:pStyle w:val="Level111G1"/>
            </w:pPr>
          </w:p>
        </w:tc>
        <w:tc>
          <w:tcPr>
            <w:tcW w:w="450" w:type="dxa"/>
            <w:tcBorders>
              <w:left w:val="single" w:sz="6" w:space="0" w:color="auto"/>
            </w:tcBorders>
          </w:tcPr>
          <w:p w14:paraId="4AA4B56F" w14:textId="77777777" w:rsidR="005B4780" w:rsidRPr="00CA6574" w:rsidRDefault="005B4780" w:rsidP="005B4780">
            <w:pPr>
              <w:pStyle w:val="Level111G1"/>
            </w:pPr>
          </w:p>
        </w:tc>
        <w:tc>
          <w:tcPr>
            <w:tcW w:w="450" w:type="dxa"/>
            <w:tcBorders>
              <w:left w:val="single" w:sz="6" w:space="0" w:color="auto"/>
            </w:tcBorders>
          </w:tcPr>
          <w:p w14:paraId="2BD13E10" w14:textId="77777777" w:rsidR="005B4780" w:rsidRPr="00CA6574" w:rsidRDefault="005B4780" w:rsidP="005B4780">
            <w:pPr>
              <w:pStyle w:val="Level111G1"/>
            </w:pPr>
          </w:p>
        </w:tc>
        <w:tc>
          <w:tcPr>
            <w:tcW w:w="1001" w:type="dxa"/>
            <w:tcBorders>
              <w:left w:val="single" w:sz="6" w:space="0" w:color="auto"/>
            </w:tcBorders>
          </w:tcPr>
          <w:p w14:paraId="1546C461" w14:textId="77777777" w:rsidR="005B4780" w:rsidRPr="00CA6574" w:rsidRDefault="005B4780" w:rsidP="005B4780">
            <w:pPr>
              <w:pStyle w:val="Level111G1"/>
            </w:pPr>
          </w:p>
        </w:tc>
        <w:tc>
          <w:tcPr>
            <w:tcW w:w="1001" w:type="dxa"/>
            <w:tcBorders>
              <w:left w:val="single" w:sz="6" w:space="0" w:color="auto"/>
            </w:tcBorders>
          </w:tcPr>
          <w:p w14:paraId="56E88B8A" w14:textId="77777777" w:rsidR="005B4780" w:rsidRPr="00CA6574" w:rsidRDefault="005B4780" w:rsidP="005B4780">
            <w:pPr>
              <w:pStyle w:val="Level111G1"/>
            </w:pPr>
          </w:p>
        </w:tc>
      </w:tr>
      <w:tr w:rsidR="005B4780" w:rsidRPr="00CA6574" w14:paraId="1FDC6B24" w14:textId="77777777" w:rsidTr="00E07141">
        <w:trPr>
          <w:cantSplit/>
          <w:trHeight w:val="324"/>
        </w:trPr>
        <w:tc>
          <w:tcPr>
            <w:tcW w:w="6948" w:type="dxa"/>
          </w:tcPr>
          <w:p w14:paraId="0F8D3C6B" w14:textId="10C16E0A" w:rsidR="005B4780" w:rsidRPr="00CA6574" w:rsidRDefault="005B4780">
            <w:pPr>
              <w:pStyle w:val="Level111G1"/>
            </w:pPr>
            <w:r w:rsidRPr="00CA6574">
              <w:tab/>
              <w:t>3.4</w:t>
            </w:r>
            <w:r w:rsidRPr="00CA6574">
              <w:tab/>
            </w:r>
            <w:r w:rsidR="008145C6">
              <w:t xml:space="preserve">Engage with the client’s lender or their legal counsel (if applicable) </w:t>
            </w:r>
            <w:r>
              <w:t>regarding financing</w:t>
            </w:r>
            <w:r w:rsidR="008145C6">
              <w:t xml:space="preserve"> arrangements</w:t>
            </w:r>
            <w:r>
              <w:t xml:space="preserve">, if any, if so instructed. </w:t>
            </w:r>
          </w:p>
        </w:tc>
        <w:tc>
          <w:tcPr>
            <w:tcW w:w="450" w:type="dxa"/>
            <w:tcBorders>
              <w:left w:val="single" w:sz="6" w:space="0" w:color="auto"/>
            </w:tcBorders>
          </w:tcPr>
          <w:p w14:paraId="38538FC4" w14:textId="77777777" w:rsidR="005B4780" w:rsidRPr="00CA6574" w:rsidRDefault="005B4780" w:rsidP="005B4780">
            <w:pPr>
              <w:pStyle w:val="Level111G1"/>
            </w:pPr>
          </w:p>
        </w:tc>
        <w:tc>
          <w:tcPr>
            <w:tcW w:w="450" w:type="dxa"/>
            <w:tcBorders>
              <w:left w:val="single" w:sz="6" w:space="0" w:color="auto"/>
            </w:tcBorders>
          </w:tcPr>
          <w:p w14:paraId="78BF2333" w14:textId="77777777" w:rsidR="005B4780" w:rsidRPr="00CA6574" w:rsidRDefault="005B4780" w:rsidP="005B4780">
            <w:pPr>
              <w:pStyle w:val="Level111G1"/>
            </w:pPr>
          </w:p>
        </w:tc>
        <w:tc>
          <w:tcPr>
            <w:tcW w:w="450" w:type="dxa"/>
            <w:tcBorders>
              <w:left w:val="single" w:sz="6" w:space="0" w:color="auto"/>
            </w:tcBorders>
          </w:tcPr>
          <w:p w14:paraId="57B642ED" w14:textId="77777777" w:rsidR="005B4780" w:rsidRPr="00CA6574" w:rsidRDefault="005B4780" w:rsidP="005B4780">
            <w:pPr>
              <w:pStyle w:val="Level111G1"/>
            </w:pPr>
          </w:p>
        </w:tc>
        <w:tc>
          <w:tcPr>
            <w:tcW w:w="1001" w:type="dxa"/>
            <w:tcBorders>
              <w:left w:val="single" w:sz="6" w:space="0" w:color="auto"/>
            </w:tcBorders>
          </w:tcPr>
          <w:p w14:paraId="0632716B" w14:textId="77777777" w:rsidR="005B4780" w:rsidRPr="00CA6574" w:rsidRDefault="005B4780" w:rsidP="005B4780">
            <w:pPr>
              <w:pStyle w:val="Level111G1"/>
            </w:pPr>
          </w:p>
        </w:tc>
        <w:tc>
          <w:tcPr>
            <w:tcW w:w="1001" w:type="dxa"/>
            <w:tcBorders>
              <w:left w:val="single" w:sz="6" w:space="0" w:color="auto"/>
            </w:tcBorders>
          </w:tcPr>
          <w:p w14:paraId="5835B7E3" w14:textId="77777777" w:rsidR="005B4780" w:rsidRPr="00CA6574" w:rsidRDefault="005B4780" w:rsidP="005B4780">
            <w:pPr>
              <w:pStyle w:val="Level111G1"/>
            </w:pPr>
          </w:p>
        </w:tc>
      </w:tr>
      <w:tr w:rsidR="005B4780" w:rsidRPr="00CA6574" w14:paraId="526BC065" w14:textId="77777777" w:rsidTr="007B15B4">
        <w:trPr>
          <w:cantSplit/>
          <w:trHeight w:val="1890"/>
        </w:trPr>
        <w:tc>
          <w:tcPr>
            <w:tcW w:w="6948" w:type="dxa"/>
          </w:tcPr>
          <w:p w14:paraId="6606F83A" w14:textId="3D7BC367" w:rsidR="005B4780" w:rsidRPr="00CC3B25" w:rsidRDefault="005B4780" w:rsidP="005B4780">
            <w:pPr>
              <w:pStyle w:val="Level111G1"/>
            </w:pPr>
            <w:r w:rsidRPr="00CC3B25">
              <w:tab/>
              <w:t>3.5</w:t>
            </w:r>
            <w:r w:rsidRPr="00CC3B25">
              <w:tab/>
              <w:t>Initiate the necessary searches to complete the due diligence for the transaction, and where necessary, obtain written authorization from the vendor and the target company for release of the information. Consider which, if any, of these searches should be conducted in relation to the vendor (e.g., to confirm its right, and any limitations on its ability, to sell to your client) or the target, or both. In some instances, searches of both the vendor and the target will be appropriate. Consider the fact that, in a share purchase, the purchaser will inherit all of the obligations and liabilities of the target.</w:t>
            </w:r>
          </w:p>
        </w:tc>
        <w:tc>
          <w:tcPr>
            <w:tcW w:w="450" w:type="dxa"/>
            <w:tcBorders>
              <w:left w:val="single" w:sz="6" w:space="0" w:color="auto"/>
            </w:tcBorders>
          </w:tcPr>
          <w:p w14:paraId="346DB318" w14:textId="77777777" w:rsidR="005B4780" w:rsidRPr="00CA6574" w:rsidRDefault="005B4780" w:rsidP="005B4780">
            <w:pPr>
              <w:pStyle w:val="Level111G1"/>
            </w:pPr>
          </w:p>
        </w:tc>
        <w:tc>
          <w:tcPr>
            <w:tcW w:w="450" w:type="dxa"/>
            <w:tcBorders>
              <w:left w:val="single" w:sz="6" w:space="0" w:color="auto"/>
            </w:tcBorders>
          </w:tcPr>
          <w:p w14:paraId="6F7C7A61" w14:textId="77777777" w:rsidR="005B4780" w:rsidRPr="00CA6574" w:rsidRDefault="005B4780" w:rsidP="005B4780">
            <w:pPr>
              <w:pStyle w:val="Level111G1"/>
            </w:pPr>
          </w:p>
        </w:tc>
        <w:tc>
          <w:tcPr>
            <w:tcW w:w="450" w:type="dxa"/>
            <w:tcBorders>
              <w:left w:val="single" w:sz="6" w:space="0" w:color="auto"/>
            </w:tcBorders>
          </w:tcPr>
          <w:p w14:paraId="156FD334" w14:textId="77777777" w:rsidR="005B4780" w:rsidRPr="00CA6574" w:rsidRDefault="005B4780" w:rsidP="005B4780">
            <w:pPr>
              <w:pStyle w:val="Level111G1"/>
            </w:pPr>
          </w:p>
        </w:tc>
        <w:tc>
          <w:tcPr>
            <w:tcW w:w="1001" w:type="dxa"/>
            <w:tcBorders>
              <w:left w:val="single" w:sz="6" w:space="0" w:color="auto"/>
            </w:tcBorders>
          </w:tcPr>
          <w:p w14:paraId="7E061E05" w14:textId="77777777" w:rsidR="005B4780" w:rsidRPr="00CA6574" w:rsidRDefault="005B4780" w:rsidP="005B4780">
            <w:pPr>
              <w:pStyle w:val="Level111G1"/>
            </w:pPr>
          </w:p>
        </w:tc>
        <w:tc>
          <w:tcPr>
            <w:tcW w:w="1001" w:type="dxa"/>
            <w:tcBorders>
              <w:left w:val="single" w:sz="6" w:space="0" w:color="auto"/>
            </w:tcBorders>
          </w:tcPr>
          <w:p w14:paraId="4BBAA57E" w14:textId="77777777" w:rsidR="005B4780" w:rsidRPr="00CA6574" w:rsidRDefault="005B4780" w:rsidP="005B4780">
            <w:pPr>
              <w:pStyle w:val="Level111G1"/>
            </w:pPr>
          </w:p>
        </w:tc>
      </w:tr>
      <w:tr w:rsidR="005B4780" w:rsidRPr="00CA6574" w14:paraId="32B41CFC" w14:textId="77777777" w:rsidTr="007151D0">
        <w:trPr>
          <w:cantSplit/>
          <w:trHeight w:val="2043"/>
        </w:trPr>
        <w:tc>
          <w:tcPr>
            <w:tcW w:w="6948" w:type="dxa"/>
          </w:tcPr>
          <w:p w14:paraId="0AC0B292" w14:textId="77777777" w:rsidR="005B4780" w:rsidRPr="00CA6574" w:rsidRDefault="005B4780" w:rsidP="005B4780">
            <w:pPr>
              <w:pStyle w:val="Level2"/>
            </w:pPr>
            <w:r w:rsidRPr="00CA6574">
              <w:tab/>
              <w:t>.1</w:t>
            </w:r>
            <w:r w:rsidRPr="00CA6574">
              <w:tab/>
              <w:t>Corporate Registry</w:t>
            </w:r>
            <w:r>
              <w:t xml:space="preserve"> (or equivalent office in jurisdiction of incorporation).</w:t>
            </w:r>
            <w:r w:rsidRPr="00CA6574">
              <w:t xml:space="preserve"> </w:t>
            </w:r>
            <w:r>
              <w:t xml:space="preserve">Search for </w:t>
            </w:r>
            <w:r w:rsidRPr="0021164B">
              <w:t>memorandum (where still applicable), notice of articles, articles, and any amendments; registered and records offices; annual reports; directors and officers; whether the company has been struck off and subsequently restored; copies of encumbrances which may still bind the company; order certificate of good standing; check that there is no notice of dissent pursuant to</w:t>
            </w:r>
            <w:r>
              <w:t xml:space="preserve"> s. 301 of the </w:t>
            </w:r>
            <w:r w:rsidRPr="0021164B">
              <w:rPr>
                <w:rStyle w:val="ItalicsI1"/>
              </w:rPr>
              <w:t>Business Corporations Act</w:t>
            </w:r>
            <w:r w:rsidRPr="0021164B">
              <w:rPr>
                <w:spacing w:val="-2"/>
              </w:rPr>
              <w:t>, S.B.C. 2002, c. 57</w:t>
            </w:r>
            <w:r w:rsidRPr="0021164B">
              <w:rPr>
                <w:rStyle w:val="ItalicsI1"/>
              </w:rPr>
              <w:t>.</w:t>
            </w:r>
          </w:p>
        </w:tc>
        <w:tc>
          <w:tcPr>
            <w:tcW w:w="450" w:type="dxa"/>
            <w:tcBorders>
              <w:left w:val="single" w:sz="6" w:space="0" w:color="auto"/>
            </w:tcBorders>
          </w:tcPr>
          <w:p w14:paraId="1D8F3048" w14:textId="77777777" w:rsidR="005B4780" w:rsidRPr="00CA6574" w:rsidRDefault="005B4780" w:rsidP="005B4780">
            <w:pPr>
              <w:pStyle w:val="Level2"/>
            </w:pPr>
          </w:p>
        </w:tc>
        <w:tc>
          <w:tcPr>
            <w:tcW w:w="450" w:type="dxa"/>
            <w:tcBorders>
              <w:left w:val="single" w:sz="6" w:space="0" w:color="auto"/>
            </w:tcBorders>
          </w:tcPr>
          <w:p w14:paraId="193BF833" w14:textId="77777777" w:rsidR="005B4780" w:rsidRPr="00CA6574" w:rsidRDefault="005B4780" w:rsidP="005B4780">
            <w:pPr>
              <w:pStyle w:val="Level2"/>
            </w:pPr>
          </w:p>
        </w:tc>
        <w:tc>
          <w:tcPr>
            <w:tcW w:w="450" w:type="dxa"/>
            <w:tcBorders>
              <w:left w:val="single" w:sz="6" w:space="0" w:color="auto"/>
            </w:tcBorders>
          </w:tcPr>
          <w:p w14:paraId="2CAD7F4A" w14:textId="77777777" w:rsidR="005B4780" w:rsidRPr="00CA6574" w:rsidRDefault="005B4780" w:rsidP="005B4780">
            <w:pPr>
              <w:pStyle w:val="Level2"/>
            </w:pPr>
          </w:p>
        </w:tc>
        <w:tc>
          <w:tcPr>
            <w:tcW w:w="1001" w:type="dxa"/>
            <w:tcBorders>
              <w:left w:val="single" w:sz="6" w:space="0" w:color="auto"/>
            </w:tcBorders>
          </w:tcPr>
          <w:p w14:paraId="16F90DA8" w14:textId="77777777" w:rsidR="005B4780" w:rsidRPr="00CA6574" w:rsidRDefault="005B4780" w:rsidP="005B4780">
            <w:pPr>
              <w:pStyle w:val="Level2"/>
            </w:pPr>
          </w:p>
        </w:tc>
        <w:tc>
          <w:tcPr>
            <w:tcW w:w="1001" w:type="dxa"/>
            <w:tcBorders>
              <w:left w:val="single" w:sz="6" w:space="0" w:color="auto"/>
            </w:tcBorders>
          </w:tcPr>
          <w:p w14:paraId="6B8D9C5A" w14:textId="77777777" w:rsidR="005B4780" w:rsidRPr="00CA6574" w:rsidRDefault="005B4780" w:rsidP="005B4780">
            <w:pPr>
              <w:pStyle w:val="Level2"/>
            </w:pPr>
          </w:p>
        </w:tc>
      </w:tr>
      <w:tr w:rsidR="005B4780" w:rsidRPr="00CA6574" w14:paraId="459A1B80" w14:textId="77777777" w:rsidTr="00495C9A">
        <w:trPr>
          <w:cantSplit/>
          <w:trHeight w:val="3582"/>
        </w:trPr>
        <w:tc>
          <w:tcPr>
            <w:tcW w:w="6948" w:type="dxa"/>
          </w:tcPr>
          <w:p w14:paraId="42C8C5CA" w14:textId="77777777" w:rsidR="005B4780" w:rsidRPr="00CA6574" w:rsidRDefault="005B4780" w:rsidP="005B4780">
            <w:pPr>
              <w:pStyle w:val="Level2"/>
            </w:pPr>
            <w:r w:rsidRPr="00CA6574">
              <w:lastRenderedPageBreak/>
              <w:tab/>
              <w:t>.2</w:t>
            </w:r>
            <w:r w:rsidRPr="00CA6574">
              <w:tab/>
              <w:t xml:space="preserve">Records office search and minute book review. Examine all registers and determine any deficiencies with respect to directors, members, transfers and allotments of shares, mortgages, debentures and debenture holders, and other indebtedness. Examine share registers, </w:t>
            </w:r>
            <w:r>
              <w:t xml:space="preserve">transparency registers, </w:t>
            </w:r>
            <w:r w:rsidRPr="00CA6574">
              <w:t xml:space="preserve">share certificates, waivers of pre-emptive rights, and resolutions authorizing issuance, transfer, and buy-back of shares to determine </w:t>
            </w:r>
            <w:r>
              <w:t>whether</w:t>
            </w:r>
            <w:r w:rsidRPr="00CA6574">
              <w:t xml:space="preserve"> the shares are validly allotted, issued, fully paid, transferred, and redeemed. Examine cancelled share certificates. Determine </w:t>
            </w:r>
            <w:r>
              <w:t xml:space="preserve">whether </w:t>
            </w:r>
            <w:r w:rsidRPr="00CA6574">
              <w:t xml:space="preserve">directors’ and shareholders’ meetings have been properly constituted and </w:t>
            </w:r>
            <w:r>
              <w:t>whether</w:t>
            </w:r>
            <w:r w:rsidRPr="00CA6574">
              <w:t xml:space="preserve"> the</w:t>
            </w:r>
            <w:r>
              <w:t xml:space="preserve"> </w:t>
            </w:r>
            <w:r w:rsidRPr="00CA6574">
              <w:t xml:space="preserve">directors have been validly appointed. Determine </w:t>
            </w:r>
            <w:r>
              <w:t>whether</w:t>
            </w:r>
            <w:r w:rsidRPr="00CA6574">
              <w:t xml:space="preserve"> the proper authorization for every transaction and material contract has been obtained. Review</w:t>
            </w:r>
            <w:r>
              <w:t xml:space="preserve"> </w:t>
            </w:r>
            <w:r w:rsidRPr="00CA6574">
              <w:t>for appropriate disclosures of interest.</w:t>
            </w:r>
            <w:r>
              <w:t xml:space="preserve"> </w:t>
            </w:r>
            <w:r w:rsidRPr="00EA4337">
              <w:t>Determine</w:t>
            </w:r>
            <w:r>
              <w:t xml:space="preserve"> whether</w:t>
            </w:r>
            <w:r w:rsidRPr="00CA6574">
              <w:t xml:space="preserve"> the minutes disclose any further contracts or commitments (including, in particular, any outstanding shareholders’ agreements or options to acquire shares).</w:t>
            </w:r>
          </w:p>
        </w:tc>
        <w:tc>
          <w:tcPr>
            <w:tcW w:w="450" w:type="dxa"/>
            <w:tcBorders>
              <w:left w:val="single" w:sz="6" w:space="0" w:color="auto"/>
            </w:tcBorders>
          </w:tcPr>
          <w:p w14:paraId="2B58B2D9" w14:textId="77777777" w:rsidR="005B4780" w:rsidRPr="00CA6574" w:rsidRDefault="005B4780" w:rsidP="005B4780">
            <w:pPr>
              <w:pStyle w:val="Level2"/>
            </w:pPr>
          </w:p>
        </w:tc>
        <w:tc>
          <w:tcPr>
            <w:tcW w:w="450" w:type="dxa"/>
            <w:tcBorders>
              <w:left w:val="single" w:sz="6" w:space="0" w:color="auto"/>
            </w:tcBorders>
          </w:tcPr>
          <w:p w14:paraId="04D1E7DB" w14:textId="77777777" w:rsidR="005B4780" w:rsidRPr="00CA6574" w:rsidRDefault="005B4780" w:rsidP="005B4780">
            <w:pPr>
              <w:pStyle w:val="Level2"/>
            </w:pPr>
          </w:p>
        </w:tc>
        <w:tc>
          <w:tcPr>
            <w:tcW w:w="450" w:type="dxa"/>
            <w:tcBorders>
              <w:left w:val="single" w:sz="6" w:space="0" w:color="auto"/>
            </w:tcBorders>
          </w:tcPr>
          <w:p w14:paraId="03B878CE" w14:textId="77777777" w:rsidR="005B4780" w:rsidRPr="00CA6574" w:rsidRDefault="005B4780" w:rsidP="005B4780">
            <w:pPr>
              <w:pStyle w:val="Level2"/>
            </w:pPr>
          </w:p>
        </w:tc>
        <w:tc>
          <w:tcPr>
            <w:tcW w:w="1001" w:type="dxa"/>
            <w:tcBorders>
              <w:left w:val="single" w:sz="6" w:space="0" w:color="auto"/>
            </w:tcBorders>
          </w:tcPr>
          <w:p w14:paraId="56FF2BCF" w14:textId="77777777" w:rsidR="005B4780" w:rsidRPr="00CA6574" w:rsidRDefault="005B4780" w:rsidP="005B4780">
            <w:pPr>
              <w:pStyle w:val="Level2"/>
            </w:pPr>
          </w:p>
        </w:tc>
        <w:tc>
          <w:tcPr>
            <w:tcW w:w="1001" w:type="dxa"/>
            <w:tcBorders>
              <w:left w:val="single" w:sz="6" w:space="0" w:color="auto"/>
            </w:tcBorders>
          </w:tcPr>
          <w:p w14:paraId="16408E27" w14:textId="77777777" w:rsidR="005B4780" w:rsidRPr="00CA6574" w:rsidRDefault="005B4780" w:rsidP="005B4780">
            <w:pPr>
              <w:pStyle w:val="Level2"/>
            </w:pPr>
          </w:p>
        </w:tc>
      </w:tr>
      <w:tr w:rsidR="005B4780" w:rsidRPr="00CA6574" w14:paraId="5471773F" w14:textId="77777777" w:rsidTr="00495C9A">
        <w:trPr>
          <w:cantSplit/>
          <w:trHeight w:val="1017"/>
        </w:trPr>
        <w:tc>
          <w:tcPr>
            <w:tcW w:w="6948" w:type="dxa"/>
          </w:tcPr>
          <w:p w14:paraId="441DD338" w14:textId="77777777" w:rsidR="005B4780" w:rsidRPr="00CA6574" w:rsidRDefault="005B4780" w:rsidP="005B4780">
            <w:pPr>
              <w:pStyle w:val="Level2"/>
            </w:pPr>
            <w:r>
              <w:tab/>
            </w:r>
            <w:r>
              <w:tab/>
            </w:r>
            <w:r w:rsidRPr="00CA6574">
              <w:t xml:space="preserve">Review articles to determine whether restrictions on transfer of shares exist and the procedure for executing documents. Determine </w:t>
            </w:r>
            <w:r>
              <w:t>whether</w:t>
            </w:r>
            <w:r w:rsidRPr="00CA6574">
              <w:t xml:space="preserve"> a shareholders’ agreement exists and whether it contains restrictions on the transfer of shares.</w:t>
            </w:r>
          </w:p>
        </w:tc>
        <w:tc>
          <w:tcPr>
            <w:tcW w:w="450" w:type="dxa"/>
            <w:tcBorders>
              <w:left w:val="single" w:sz="6" w:space="0" w:color="auto"/>
            </w:tcBorders>
          </w:tcPr>
          <w:p w14:paraId="473CDD64" w14:textId="77777777" w:rsidR="005B4780" w:rsidRPr="00CA6574" w:rsidRDefault="005B4780" w:rsidP="005B4780">
            <w:pPr>
              <w:pStyle w:val="Level2"/>
            </w:pPr>
          </w:p>
        </w:tc>
        <w:tc>
          <w:tcPr>
            <w:tcW w:w="450" w:type="dxa"/>
            <w:tcBorders>
              <w:left w:val="single" w:sz="6" w:space="0" w:color="auto"/>
            </w:tcBorders>
          </w:tcPr>
          <w:p w14:paraId="05061B33" w14:textId="77777777" w:rsidR="005B4780" w:rsidRPr="00CA6574" w:rsidRDefault="005B4780" w:rsidP="005B4780">
            <w:pPr>
              <w:pStyle w:val="Level2"/>
            </w:pPr>
          </w:p>
        </w:tc>
        <w:tc>
          <w:tcPr>
            <w:tcW w:w="450" w:type="dxa"/>
            <w:tcBorders>
              <w:left w:val="single" w:sz="6" w:space="0" w:color="auto"/>
            </w:tcBorders>
          </w:tcPr>
          <w:p w14:paraId="564E2D25" w14:textId="77777777" w:rsidR="005B4780" w:rsidRPr="00CA6574" w:rsidRDefault="005B4780" w:rsidP="005B4780">
            <w:pPr>
              <w:pStyle w:val="Level2"/>
            </w:pPr>
          </w:p>
        </w:tc>
        <w:tc>
          <w:tcPr>
            <w:tcW w:w="1001" w:type="dxa"/>
            <w:tcBorders>
              <w:left w:val="single" w:sz="6" w:space="0" w:color="auto"/>
            </w:tcBorders>
          </w:tcPr>
          <w:p w14:paraId="1026D86F" w14:textId="77777777" w:rsidR="005B4780" w:rsidRPr="00CA6574" w:rsidRDefault="005B4780" w:rsidP="005B4780">
            <w:pPr>
              <w:pStyle w:val="Level2"/>
            </w:pPr>
          </w:p>
        </w:tc>
        <w:tc>
          <w:tcPr>
            <w:tcW w:w="1001" w:type="dxa"/>
            <w:tcBorders>
              <w:left w:val="single" w:sz="6" w:space="0" w:color="auto"/>
            </w:tcBorders>
          </w:tcPr>
          <w:p w14:paraId="3D49D4B2" w14:textId="77777777" w:rsidR="005B4780" w:rsidRPr="00CA6574" w:rsidRDefault="005B4780" w:rsidP="005B4780">
            <w:pPr>
              <w:pStyle w:val="Level2"/>
            </w:pPr>
          </w:p>
        </w:tc>
      </w:tr>
      <w:tr w:rsidR="005B4780" w:rsidRPr="00CA6574" w14:paraId="5FC1BFC0" w14:textId="77777777" w:rsidTr="00495C9A">
        <w:trPr>
          <w:cantSplit/>
          <w:trHeight w:val="423"/>
        </w:trPr>
        <w:tc>
          <w:tcPr>
            <w:tcW w:w="6948" w:type="dxa"/>
          </w:tcPr>
          <w:p w14:paraId="1FF889C6" w14:textId="77777777" w:rsidR="005B4780" w:rsidRPr="00CA6574" w:rsidRDefault="005B4780" w:rsidP="005B4780">
            <w:pPr>
              <w:pStyle w:val="Level2"/>
            </w:pPr>
            <w:r w:rsidRPr="00CA6574">
              <w:tab/>
              <w:t>.3</w:t>
            </w:r>
            <w:r w:rsidRPr="00CA6574">
              <w:tab/>
              <w:t>Personal Property Registry.</w:t>
            </w:r>
          </w:p>
        </w:tc>
        <w:tc>
          <w:tcPr>
            <w:tcW w:w="450" w:type="dxa"/>
            <w:tcBorders>
              <w:left w:val="single" w:sz="6" w:space="0" w:color="auto"/>
            </w:tcBorders>
          </w:tcPr>
          <w:p w14:paraId="1CCA3B43" w14:textId="77777777" w:rsidR="005B4780" w:rsidRPr="00CA6574" w:rsidRDefault="005B4780" w:rsidP="005B4780">
            <w:pPr>
              <w:pStyle w:val="Level2"/>
            </w:pPr>
          </w:p>
        </w:tc>
        <w:tc>
          <w:tcPr>
            <w:tcW w:w="450" w:type="dxa"/>
            <w:tcBorders>
              <w:left w:val="single" w:sz="6" w:space="0" w:color="auto"/>
            </w:tcBorders>
          </w:tcPr>
          <w:p w14:paraId="15503403" w14:textId="77777777" w:rsidR="005B4780" w:rsidRPr="00CA6574" w:rsidRDefault="005B4780" w:rsidP="005B4780">
            <w:pPr>
              <w:pStyle w:val="Level2"/>
            </w:pPr>
          </w:p>
        </w:tc>
        <w:tc>
          <w:tcPr>
            <w:tcW w:w="450" w:type="dxa"/>
            <w:tcBorders>
              <w:left w:val="single" w:sz="6" w:space="0" w:color="auto"/>
            </w:tcBorders>
          </w:tcPr>
          <w:p w14:paraId="40E8132F" w14:textId="77777777" w:rsidR="005B4780" w:rsidRPr="00CA6574" w:rsidRDefault="005B4780" w:rsidP="005B4780">
            <w:pPr>
              <w:pStyle w:val="Level2"/>
            </w:pPr>
          </w:p>
        </w:tc>
        <w:tc>
          <w:tcPr>
            <w:tcW w:w="1001" w:type="dxa"/>
            <w:tcBorders>
              <w:left w:val="single" w:sz="6" w:space="0" w:color="auto"/>
            </w:tcBorders>
          </w:tcPr>
          <w:p w14:paraId="2234BF7A" w14:textId="77777777" w:rsidR="005B4780" w:rsidRPr="00CA6574" w:rsidRDefault="005B4780" w:rsidP="005B4780">
            <w:pPr>
              <w:pStyle w:val="Level2"/>
            </w:pPr>
          </w:p>
        </w:tc>
        <w:tc>
          <w:tcPr>
            <w:tcW w:w="1001" w:type="dxa"/>
            <w:tcBorders>
              <w:left w:val="single" w:sz="6" w:space="0" w:color="auto"/>
            </w:tcBorders>
          </w:tcPr>
          <w:p w14:paraId="5CA27725" w14:textId="77777777" w:rsidR="005B4780" w:rsidRPr="00CA6574" w:rsidRDefault="005B4780" w:rsidP="005B4780">
            <w:pPr>
              <w:pStyle w:val="Level2"/>
            </w:pPr>
          </w:p>
        </w:tc>
      </w:tr>
      <w:tr w:rsidR="005B4780" w:rsidRPr="00CA6574" w14:paraId="47005605" w14:textId="77777777" w:rsidTr="002A5313">
        <w:trPr>
          <w:cantSplit/>
          <w:trHeight w:val="243"/>
        </w:trPr>
        <w:tc>
          <w:tcPr>
            <w:tcW w:w="6948" w:type="dxa"/>
          </w:tcPr>
          <w:p w14:paraId="26E60583" w14:textId="209E785C" w:rsidR="005B4780" w:rsidRPr="00CA6574" w:rsidRDefault="005B4780" w:rsidP="005B4780">
            <w:pPr>
              <w:pStyle w:val="Level2"/>
            </w:pPr>
            <w:r w:rsidRPr="00CA6574">
              <w:tab/>
              <w:t>.4</w:t>
            </w:r>
            <w:r w:rsidRPr="00CA6574">
              <w:tab/>
              <w:t>ICBC Vehicle Records Department.</w:t>
            </w:r>
          </w:p>
        </w:tc>
        <w:tc>
          <w:tcPr>
            <w:tcW w:w="450" w:type="dxa"/>
            <w:tcBorders>
              <w:left w:val="single" w:sz="6" w:space="0" w:color="auto"/>
            </w:tcBorders>
          </w:tcPr>
          <w:p w14:paraId="616E477B" w14:textId="77777777" w:rsidR="005B4780" w:rsidRPr="00CA6574" w:rsidRDefault="005B4780" w:rsidP="005B4780">
            <w:pPr>
              <w:pStyle w:val="Level2"/>
            </w:pPr>
          </w:p>
        </w:tc>
        <w:tc>
          <w:tcPr>
            <w:tcW w:w="450" w:type="dxa"/>
            <w:tcBorders>
              <w:left w:val="single" w:sz="6" w:space="0" w:color="auto"/>
            </w:tcBorders>
          </w:tcPr>
          <w:p w14:paraId="5EB9322B" w14:textId="77777777" w:rsidR="005B4780" w:rsidRPr="00CA6574" w:rsidRDefault="005B4780" w:rsidP="005B4780">
            <w:pPr>
              <w:pStyle w:val="Level2"/>
            </w:pPr>
          </w:p>
        </w:tc>
        <w:tc>
          <w:tcPr>
            <w:tcW w:w="450" w:type="dxa"/>
            <w:tcBorders>
              <w:left w:val="single" w:sz="6" w:space="0" w:color="auto"/>
            </w:tcBorders>
          </w:tcPr>
          <w:p w14:paraId="01C67876" w14:textId="77777777" w:rsidR="005B4780" w:rsidRPr="00CA6574" w:rsidRDefault="005B4780" w:rsidP="005B4780">
            <w:pPr>
              <w:pStyle w:val="Level2"/>
            </w:pPr>
          </w:p>
        </w:tc>
        <w:tc>
          <w:tcPr>
            <w:tcW w:w="1001" w:type="dxa"/>
            <w:tcBorders>
              <w:left w:val="single" w:sz="6" w:space="0" w:color="auto"/>
            </w:tcBorders>
          </w:tcPr>
          <w:p w14:paraId="3607FC5E" w14:textId="77777777" w:rsidR="005B4780" w:rsidRPr="00CA6574" w:rsidRDefault="005B4780" w:rsidP="005B4780">
            <w:pPr>
              <w:pStyle w:val="Level2"/>
            </w:pPr>
          </w:p>
        </w:tc>
        <w:tc>
          <w:tcPr>
            <w:tcW w:w="1001" w:type="dxa"/>
            <w:tcBorders>
              <w:left w:val="single" w:sz="6" w:space="0" w:color="auto"/>
            </w:tcBorders>
          </w:tcPr>
          <w:p w14:paraId="6B697026" w14:textId="77777777" w:rsidR="005B4780" w:rsidRPr="00CA6574" w:rsidRDefault="005B4780" w:rsidP="005B4780">
            <w:pPr>
              <w:pStyle w:val="Level2"/>
            </w:pPr>
          </w:p>
        </w:tc>
      </w:tr>
      <w:tr w:rsidR="005B4780" w:rsidRPr="00CA6574" w14:paraId="49AC24F4" w14:textId="77777777" w:rsidTr="00614865">
        <w:trPr>
          <w:cantSplit/>
          <w:trHeight w:val="297"/>
        </w:trPr>
        <w:tc>
          <w:tcPr>
            <w:tcW w:w="6948" w:type="dxa"/>
          </w:tcPr>
          <w:p w14:paraId="72F0CD2A" w14:textId="77777777" w:rsidR="005B4780" w:rsidRDefault="005B4780" w:rsidP="005B4780">
            <w:pPr>
              <w:pStyle w:val="Level2"/>
            </w:pPr>
            <w:r w:rsidRPr="00CA6574">
              <w:tab/>
              <w:t>.5</w:t>
            </w:r>
            <w:r w:rsidRPr="00CA6574">
              <w:tab/>
              <w:t xml:space="preserve">Land </w:t>
            </w:r>
            <w:r>
              <w:t>Title O</w:t>
            </w:r>
            <w:r w:rsidRPr="00CA6574">
              <w:t>ffice</w:t>
            </w:r>
            <w:r>
              <w:t>. Search for judgments; title; copies of charges and permitted encumbrances; copies of leases and restrictive covenants; other relevant information.</w:t>
            </w:r>
          </w:p>
          <w:p w14:paraId="1AFBABD0" w14:textId="717E5970" w:rsidR="005B4780" w:rsidRPr="00CA6574" w:rsidRDefault="005B4780" w:rsidP="005B4780">
            <w:pPr>
              <w:pStyle w:val="Level2"/>
              <w:numPr>
                <w:ilvl w:val="0"/>
                <w:numId w:val="27"/>
              </w:numPr>
              <w:ind w:hanging="270"/>
            </w:pPr>
            <w:r>
              <w:t>Consider searching Land Owner Transparency Registry (see “</w:t>
            </w:r>
            <w:r>
              <w:rPr>
                <w:i/>
              </w:rPr>
              <w:t>Land Owner Transparency Act</w:t>
            </w:r>
            <w:r>
              <w:t xml:space="preserve">” </w:t>
            </w:r>
            <w:r w:rsidR="001C0D82">
              <w:t xml:space="preserve">and “Transparency </w:t>
            </w:r>
            <w:r w:rsidR="006740BB">
              <w:t>r</w:t>
            </w:r>
            <w:r w:rsidR="001C0D82">
              <w:t xml:space="preserve">egister” </w:t>
            </w:r>
            <w:r>
              <w:t>under “New developments” in this checklist)</w:t>
            </w:r>
            <w:r w:rsidRPr="0021164B">
              <w:t>.</w:t>
            </w:r>
          </w:p>
        </w:tc>
        <w:tc>
          <w:tcPr>
            <w:tcW w:w="450" w:type="dxa"/>
            <w:tcBorders>
              <w:left w:val="single" w:sz="6" w:space="0" w:color="auto"/>
            </w:tcBorders>
          </w:tcPr>
          <w:p w14:paraId="43FAFF16" w14:textId="77777777" w:rsidR="005B4780" w:rsidRPr="00CA6574" w:rsidRDefault="005B4780" w:rsidP="005B4780">
            <w:pPr>
              <w:pStyle w:val="Level2"/>
            </w:pPr>
          </w:p>
        </w:tc>
        <w:tc>
          <w:tcPr>
            <w:tcW w:w="450" w:type="dxa"/>
            <w:tcBorders>
              <w:left w:val="single" w:sz="6" w:space="0" w:color="auto"/>
            </w:tcBorders>
          </w:tcPr>
          <w:p w14:paraId="0F18D57F" w14:textId="77777777" w:rsidR="005B4780" w:rsidRPr="00CA6574" w:rsidRDefault="005B4780" w:rsidP="005B4780">
            <w:pPr>
              <w:pStyle w:val="Level2"/>
            </w:pPr>
          </w:p>
        </w:tc>
        <w:tc>
          <w:tcPr>
            <w:tcW w:w="450" w:type="dxa"/>
            <w:tcBorders>
              <w:left w:val="single" w:sz="6" w:space="0" w:color="auto"/>
            </w:tcBorders>
          </w:tcPr>
          <w:p w14:paraId="46C32F32" w14:textId="77777777" w:rsidR="005B4780" w:rsidRPr="00CA6574" w:rsidRDefault="005B4780" w:rsidP="005B4780">
            <w:pPr>
              <w:pStyle w:val="Level2"/>
            </w:pPr>
          </w:p>
        </w:tc>
        <w:tc>
          <w:tcPr>
            <w:tcW w:w="1001" w:type="dxa"/>
            <w:tcBorders>
              <w:left w:val="single" w:sz="6" w:space="0" w:color="auto"/>
            </w:tcBorders>
          </w:tcPr>
          <w:p w14:paraId="48F664A2" w14:textId="77777777" w:rsidR="005B4780" w:rsidRPr="00CA6574" w:rsidRDefault="005B4780" w:rsidP="005B4780">
            <w:pPr>
              <w:pStyle w:val="Level2"/>
            </w:pPr>
          </w:p>
        </w:tc>
        <w:tc>
          <w:tcPr>
            <w:tcW w:w="1001" w:type="dxa"/>
            <w:tcBorders>
              <w:left w:val="single" w:sz="6" w:space="0" w:color="auto"/>
            </w:tcBorders>
          </w:tcPr>
          <w:p w14:paraId="2F7F8207" w14:textId="77777777" w:rsidR="005B4780" w:rsidRPr="00CA6574" w:rsidRDefault="005B4780" w:rsidP="005B4780">
            <w:pPr>
              <w:pStyle w:val="Level2"/>
            </w:pPr>
          </w:p>
        </w:tc>
      </w:tr>
      <w:tr w:rsidR="005B4780" w:rsidRPr="00CA6574" w14:paraId="48C947C1" w14:textId="77777777" w:rsidTr="005869AF">
        <w:trPr>
          <w:cantSplit/>
          <w:trHeight w:val="261"/>
        </w:trPr>
        <w:tc>
          <w:tcPr>
            <w:tcW w:w="6948" w:type="dxa"/>
          </w:tcPr>
          <w:p w14:paraId="6C127962" w14:textId="77777777" w:rsidR="005B4780" w:rsidRPr="00CA6574" w:rsidRDefault="005B4780" w:rsidP="005B4780">
            <w:pPr>
              <w:pStyle w:val="Level2"/>
            </w:pPr>
            <w:r>
              <w:tab/>
              <w:t>.6</w:t>
            </w:r>
            <w:r>
              <w:tab/>
            </w:r>
            <w:r w:rsidRPr="00CA6574">
              <w:t>Office of the Superintendent of Bankruptcy (</w:t>
            </w:r>
            <w:r>
              <w:t xml:space="preserve">Innovation, Science and Economic Development </w:t>
            </w:r>
            <w:r w:rsidRPr="00CA6574">
              <w:t>Canada).</w:t>
            </w:r>
          </w:p>
        </w:tc>
        <w:tc>
          <w:tcPr>
            <w:tcW w:w="450" w:type="dxa"/>
            <w:tcBorders>
              <w:left w:val="single" w:sz="6" w:space="0" w:color="auto"/>
            </w:tcBorders>
          </w:tcPr>
          <w:p w14:paraId="1BC78F27" w14:textId="77777777" w:rsidR="005B4780" w:rsidRPr="00CA6574" w:rsidRDefault="005B4780" w:rsidP="005B4780">
            <w:pPr>
              <w:pStyle w:val="Level2"/>
            </w:pPr>
          </w:p>
        </w:tc>
        <w:tc>
          <w:tcPr>
            <w:tcW w:w="450" w:type="dxa"/>
            <w:tcBorders>
              <w:left w:val="single" w:sz="6" w:space="0" w:color="auto"/>
            </w:tcBorders>
          </w:tcPr>
          <w:p w14:paraId="51CB89E2" w14:textId="77777777" w:rsidR="005B4780" w:rsidRPr="00CA6574" w:rsidRDefault="005B4780" w:rsidP="005B4780">
            <w:pPr>
              <w:pStyle w:val="Level2"/>
            </w:pPr>
          </w:p>
        </w:tc>
        <w:tc>
          <w:tcPr>
            <w:tcW w:w="450" w:type="dxa"/>
            <w:tcBorders>
              <w:left w:val="single" w:sz="6" w:space="0" w:color="auto"/>
            </w:tcBorders>
          </w:tcPr>
          <w:p w14:paraId="08757E38" w14:textId="77777777" w:rsidR="005B4780" w:rsidRPr="00CA6574" w:rsidRDefault="005B4780" w:rsidP="005B4780">
            <w:pPr>
              <w:pStyle w:val="Level2"/>
            </w:pPr>
          </w:p>
        </w:tc>
        <w:tc>
          <w:tcPr>
            <w:tcW w:w="1001" w:type="dxa"/>
            <w:tcBorders>
              <w:left w:val="single" w:sz="6" w:space="0" w:color="auto"/>
            </w:tcBorders>
          </w:tcPr>
          <w:p w14:paraId="1E77D907" w14:textId="77777777" w:rsidR="005B4780" w:rsidRPr="00CA6574" w:rsidRDefault="005B4780" w:rsidP="005B4780">
            <w:pPr>
              <w:pStyle w:val="Level2"/>
            </w:pPr>
          </w:p>
        </w:tc>
        <w:tc>
          <w:tcPr>
            <w:tcW w:w="1001" w:type="dxa"/>
            <w:tcBorders>
              <w:left w:val="single" w:sz="6" w:space="0" w:color="auto"/>
            </w:tcBorders>
          </w:tcPr>
          <w:p w14:paraId="76CD9B3C" w14:textId="77777777" w:rsidR="005B4780" w:rsidRPr="00CA6574" w:rsidRDefault="005B4780" w:rsidP="005B4780">
            <w:pPr>
              <w:pStyle w:val="Level2"/>
            </w:pPr>
          </w:p>
        </w:tc>
      </w:tr>
      <w:tr w:rsidR="005B4780" w:rsidRPr="00CA6574" w14:paraId="6601F5F1" w14:textId="77777777" w:rsidTr="0046711C">
        <w:trPr>
          <w:cantSplit/>
          <w:trHeight w:val="558"/>
        </w:trPr>
        <w:tc>
          <w:tcPr>
            <w:tcW w:w="6948" w:type="dxa"/>
          </w:tcPr>
          <w:p w14:paraId="6CD293CC" w14:textId="77777777" w:rsidR="005B4780" w:rsidRPr="00CA6574" w:rsidRDefault="005B4780" w:rsidP="005B4780">
            <w:pPr>
              <w:pStyle w:val="Level2"/>
            </w:pPr>
            <w:r w:rsidRPr="00CA6574">
              <w:tab/>
              <w:t>.</w:t>
            </w:r>
            <w:r>
              <w:t>7</w:t>
            </w:r>
            <w:r w:rsidRPr="00CA6574">
              <w:tab/>
              <w:t>Canadian Securities Registration Systems</w:t>
            </w:r>
            <w:r>
              <w:t>.</w:t>
            </w:r>
            <w:r w:rsidRPr="00CA6574">
              <w:t xml:space="preserve"> </w:t>
            </w:r>
            <w:r>
              <w:t>Search for security</w:t>
            </w:r>
            <w:r w:rsidRPr="00CA6574">
              <w:t xml:space="preserve"> under</w:t>
            </w:r>
            <w:r>
              <w:t xml:space="preserve"> the</w:t>
            </w:r>
            <w:r w:rsidRPr="00CA6574">
              <w:t xml:space="preserve"> </w:t>
            </w:r>
            <w:r w:rsidRPr="00CA6574">
              <w:rPr>
                <w:rStyle w:val="Italics"/>
                <w:rFonts w:ascii="Times New Roman" w:hAnsi="Times New Roman"/>
              </w:rPr>
              <w:t>Bank Act</w:t>
            </w:r>
            <w:r w:rsidRPr="00CA6574">
              <w:rPr>
                <w:rStyle w:val="Italics"/>
                <w:rFonts w:ascii="Times New Roman" w:hAnsi="Times New Roman"/>
                <w:i w:val="0"/>
              </w:rPr>
              <w:t xml:space="preserve">, </w:t>
            </w:r>
            <w:r w:rsidRPr="00CA6574">
              <w:t>S.C. 1991, c. 46, s. 427.</w:t>
            </w:r>
          </w:p>
        </w:tc>
        <w:tc>
          <w:tcPr>
            <w:tcW w:w="450" w:type="dxa"/>
            <w:tcBorders>
              <w:left w:val="single" w:sz="6" w:space="0" w:color="auto"/>
            </w:tcBorders>
          </w:tcPr>
          <w:p w14:paraId="657CED65" w14:textId="77777777" w:rsidR="005B4780" w:rsidRPr="00CA6574" w:rsidRDefault="005B4780" w:rsidP="005B4780">
            <w:pPr>
              <w:pStyle w:val="Level2"/>
            </w:pPr>
          </w:p>
        </w:tc>
        <w:tc>
          <w:tcPr>
            <w:tcW w:w="450" w:type="dxa"/>
            <w:tcBorders>
              <w:left w:val="single" w:sz="6" w:space="0" w:color="auto"/>
            </w:tcBorders>
          </w:tcPr>
          <w:p w14:paraId="04AC384D" w14:textId="77777777" w:rsidR="005B4780" w:rsidRPr="00CA6574" w:rsidRDefault="005B4780" w:rsidP="005B4780">
            <w:pPr>
              <w:pStyle w:val="Level2"/>
            </w:pPr>
          </w:p>
        </w:tc>
        <w:tc>
          <w:tcPr>
            <w:tcW w:w="450" w:type="dxa"/>
            <w:tcBorders>
              <w:left w:val="single" w:sz="6" w:space="0" w:color="auto"/>
            </w:tcBorders>
          </w:tcPr>
          <w:p w14:paraId="5DF89812" w14:textId="77777777" w:rsidR="005B4780" w:rsidRPr="00CA6574" w:rsidRDefault="005B4780" w:rsidP="005B4780">
            <w:pPr>
              <w:pStyle w:val="Level2"/>
            </w:pPr>
          </w:p>
        </w:tc>
        <w:tc>
          <w:tcPr>
            <w:tcW w:w="1001" w:type="dxa"/>
            <w:tcBorders>
              <w:left w:val="single" w:sz="6" w:space="0" w:color="auto"/>
            </w:tcBorders>
          </w:tcPr>
          <w:p w14:paraId="24EEC9ED" w14:textId="77777777" w:rsidR="005B4780" w:rsidRPr="00CA6574" w:rsidRDefault="005B4780" w:rsidP="005B4780">
            <w:pPr>
              <w:pStyle w:val="Level2"/>
            </w:pPr>
          </w:p>
        </w:tc>
        <w:tc>
          <w:tcPr>
            <w:tcW w:w="1001" w:type="dxa"/>
            <w:tcBorders>
              <w:left w:val="single" w:sz="6" w:space="0" w:color="auto"/>
            </w:tcBorders>
          </w:tcPr>
          <w:p w14:paraId="77C54556" w14:textId="77777777" w:rsidR="005B4780" w:rsidRPr="00CA6574" w:rsidRDefault="005B4780" w:rsidP="005B4780">
            <w:pPr>
              <w:pStyle w:val="Level2"/>
            </w:pPr>
          </w:p>
        </w:tc>
      </w:tr>
      <w:tr w:rsidR="005B4780" w:rsidRPr="00CA6574" w14:paraId="25D6AB61" w14:textId="77777777" w:rsidTr="00E07141">
        <w:trPr>
          <w:cantSplit/>
          <w:trHeight w:val="711"/>
        </w:trPr>
        <w:tc>
          <w:tcPr>
            <w:tcW w:w="6948" w:type="dxa"/>
          </w:tcPr>
          <w:p w14:paraId="74450892" w14:textId="77777777" w:rsidR="005B4780" w:rsidRPr="00CA6574" w:rsidRDefault="005B4780" w:rsidP="005B4780">
            <w:pPr>
              <w:pStyle w:val="Level2"/>
            </w:pPr>
            <w:r w:rsidRPr="00CA6574">
              <w:tab/>
              <w:t>.8</w:t>
            </w:r>
            <w:r w:rsidRPr="00CA6574">
              <w:tab/>
            </w:r>
            <w:proofErr w:type="spellStart"/>
            <w:r w:rsidRPr="00CA6574">
              <w:t>Labour</w:t>
            </w:r>
            <w:proofErr w:type="spellEnd"/>
            <w:r w:rsidRPr="00CA6574">
              <w:t xml:space="preserve"> Relations Board</w:t>
            </w:r>
            <w:r>
              <w:t>. Search</w:t>
            </w:r>
            <w:r w:rsidRPr="00CA6574">
              <w:t xml:space="preserve"> for pending certifications, collective agreements, or any disputes before the Board involving the target </w:t>
            </w:r>
            <w:r>
              <w:br/>
            </w:r>
            <w:r w:rsidRPr="00CA6574">
              <w:t>company.</w:t>
            </w:r>
          </w:p>
        </w:tc>
        <w:tc>
          <w:tcPr>
            <w:tcW w:w="450" w:type="dxa"/>
            <w:tcBorders>
              <w:left w:val="single" w:sz="6" w:space="0" w:color="auto"/>
            </w:tcBorders>
          </w:tcPr>
          <w:p w14:paraId="1766CA12" w14:textId="77777777" w:rsidR="005B4780" w:rsidRPr="00CA6574" w:rsidRDefault="005B4780" w:rsidP="005B4780">
            <w:pPr>
              <w:pStyle w:val="Level2"/>
            </w:pPr>
          </w:p>
        </w:tc>
        <w:tc>
          <w:tcPr>
            <w:tcW w:w="450" w:type="dxa"/>
            <w:tcBorders>
              <w:left w:val="single" w:sz="6" w:space="0" w:color="auto"/>
            </w:tcBorders>
          </w:tcPr>
          <w:p w14:paraId="5D62BFC5" w14:textId="77777777" w:rsidR="005B4780" w:rsidRPr="00CA6574" w:rsidRDefault="005B4780" w:rsidP="005B4780">
            <w:pPr>
              <w:pStyle w:val="Level2"/>
            </w:pPr>
          </w:p>
        </w:tc>
        <w:tc>
          <w:tcPr>
            <w:tcW w:w="450" w:type="dxa"/>
            <w:tcBorders>
              <w:left w:val="single" w:sz="6" w:space="0" w:color="auto"/>
            </w:tcBorders>
          </w:tcPr>
          <w:p w14:paraId="3063E15A" w14:textId="77777777" w:rsidR="005B4780" w:rsidRPr="00CA6574" w:rsidRDefault="005B4780" w:rsidP="005B4780">
            <w:pPr>
              <w:pStyle w:val="Level2"/>
            </w:pPr>
          </w:p>
        </w:tc>
        <w:tc>
          <w:tcPr>
            <w:tcW w:w="1001" w:type="dxa"/>
            <w:tcBorders>
              <w:left w:val="single" w:sz="6" w:space="0" w:color="auto"/>
            </w:tcBorders>
          </w:tcPr>
          <w:p w14:paraId="02C90C0C" w14:textId="77777777" w:rsidR="005B4780" w:rsidRPr="00CA6574" w:rsidRDefault="005B4780" w:rsidP="005B4780">
            <w:pPr>
              <w:pStyle w:val="Level2"/>
            </w:pPr>
          </w:p>
        </w:tc>
        <w:tc>
          <w:tcPr>
            <w:tcW w:w="1001" w:type="dxa"/>
            <w:tcBorders>
              <w:left w:val="single" w:sz="6" w:space="0" w:color="auto"/>
            </w:tcBorders>
          </w:tcPr>
          <w:p w14:paraId="75DFCD5F" w14:textId="77777777" w:rsidR="005B4780" w:rsidRPr="00CA6574" w:rsidRDefault="005B4780" w:rsidP="005B4780">
            <w:pPr>
              <w:pStyle w:val="Level2"/>
            </w:pPr>
          </w:p>
        </w:tc>
      </w:tr>
      <w:tr w:rsidR="005B4780" w:rsidRPr="00CA6574" w14:paraId="048FC674" w14:textId="77777777" w:rsidTr="007B15B4">
        <w:trPr>
          <w:cantSplit/>
          <w:trHeight w:val="1242"/>
        </w:trPr>
        <w:tc>
          <w:tcPr>
            <w:tcW w:w="6948" w:type="dxa"/>
          </w:tcPr>
          <w:p w14:paraId="37796801" w14:textId="77777777" w:rsidR="005B4780" w:rsidRPr="00CA6574" w:rsidRDefault="005B4780" w:rsidP="005B4780">
            <w:pPr>
              <w:pStyle w:val="Level2"/>
            </w:pPr>
            <w:r w:rsidRPr="00CA6574">
              <w:tab/>
              <w:t>.9</w:t>
            </w:r>
            <w:r w:rsidRPr="00CA6574">
              <w:tab/>
              <w:t xml:space="preserve">Other searches as required, depending on the nature of the business of the company (e.g., Mineral Titles Online, </w:t>
            </w:r>
            <w:r>
              <w:t xml:space="preserve">Canadian Register of Vessels (Commercial and Pleasure Craft), Small Vessel Register (Commercial), </w:t>
            </w:r>
            <w:r w:rsidRPr="00CA6574">
              <w:t>Ministry of Forests, Lands</w:t>
            </w:r>
            <w:r>
              <w:t>,</w:t>
            </w:r>
            <w:r w:rsidRPr="00CA6574">
              <w:t xml:space="preserve"> Natural Resource Operations</w:t>
            </w:r>
            <w:r>
              <w:t xml:space="preserve"> and Rural Development</w:t>
            </w:r>
            <w:r w:rsidRPr="00CA6574">
              <w:t>, hotel/motel tax).</w:t>
            </w:r>
          </w:p>
        </w:tc>
        <w:tc>
          <w:tcPr>
            <w:tcW w:w="450" w:type="dxa"/>
            <w:tcBorders>
              <w:left w:val="single" w:sz="6" w:space="0" w:color="auto"/>
            </w:tcBorders>
          </w:tcPr>
          <w:p w14:paraId="4797B7F1" w14:textId="77777777" w:rsidR="005B4780" w:rsidRPr="00CA6574" w:rsidRDefault="005B4780" w:rsidP="005B4780">
            <w:pPr>
              <w:pStyle w:val="Level2"/>
            </w:pPr>
          </w:p>
        </w:tc>
        <w:tc>
          <w:tcPr>
            <w:tcW w:w="450" w:type="dxa"/>
            <w:tcBorders>
              <w:left w:val="single" w:sz="6" w:space="0" w:color="auto"/>
            </w:tcBorders>
          </w:tcPr>
          <w:p w14:paraId="227880A1" w14:textId="77777777" w:rsidR="005B4780" w:rsidRPr="00CA6574" w:rsidRDefault="005B4780" w:rsidP="005B4780">
            <w:pPr>
              <w:pStyle w:val="Level2"/>
            </w:pPr>
          </w:p>
        </w:tc>
        <w:tc>
          <w:tcPr>
            <w:tcW w:w="450" w:type="dxa"/>
            <w:tcBorders>
              <w:left w:val="single" w:sz="6" w:space="0" w:color="auto"/>
            </w:tcBorders>
          </w:tcPr>
          <w:p w14:paraId="03EB5F6F" w14:textId="77777777" w:rsidR="005B4780" w:rsidRPr="00CA6574" w:rsidRDefault="005B4780" w:rsidP="005B4780">
            <w:pPr>
              <w:pStyle w:val="Level2"/>
            </w:pPr>
          </w:p>
        </w:tc>
        <w:tc>
          <w:tcPr>
            <w:tcW w:w="1001" w:type="dxa"/>
            <w:tcBorders>
              <w:left w:val="single" w:sz="6" w:space="0" w:color="auto"/>
            </w:tcBorders>
          </w:tcPr>
          <w:p w14:paraId="77B8C89D" w14:textId="77777777" w:rsidR="005B4780" w:rsidRPr="00CA6574" w:rsidRDefault="005B4780" w:rsidP="005B4780">
            <w:pPr>
              <w:pStyle w:val="Level2"/>
            </w:pPr>
          </w:p>
        </w:tc>
        <w:tc>
          <w:tcPr>
            <w:tcW w:w="1001" w:type="dxa"/>
            <w:tcBorders>
              <w:left w:val="single" w:sz="6" w:space="0" w:color="auto"/>
            </w:tcBorders>
          </w:tcPr>
          <w:p w14:paraId="06F51E15" w14:textId="77777777" w:rsidR="005B4780" w:rsidRPr="00CA6574" w:rsidRDefault="005B4780" w:rsidP="005B4780">
            <w:pPr>
              <w:pStyle w:val="Level2"/>
            </w:pPr>
          </w:p>
        </w:tc>
      </w:tr>
      <w:tr w:rsidR="005B4780" w:rsidRPr="00CA6574" w14:paraId="32346216" w14:textId="77777777">
        <w:trPr>
          <w:cantSplit/>
        </w:trPr>
        <w:tc>
          <w:tcPr>
            <w:tcW w:w="6948" w:type="dxa"/>
          </w:tcPr>
          <w:p w14:paraId="1ABCF3CF" w14:textId="629ED464" w:rsidR="005B4780" w:rsidRPr="00CA6574" w:rsidRDefault="005B4780" w:rsidP="005B4780">
            <w:pPr>
              <w:pStyle w:val="Level2"/>
            </w:pPr>
            <w:r w:rsidRPr="00CA6574">
              <w:tab/>
              <w:t>.10</w:t>
            </w:r>
            <w:r w:rsidRPr="00CA6574">
              <w:tab/>
              <w:t>Municipal offices</w:t>
            </w:r>
            <w:r>
              <w:t>. Search for</w:t>
            </w:r>
            <w:r w:rsidRPr="0021164B">
              <w:t xml:space="preserve"> taxes and utilities; planning department; </w:t>
            </w:r>
            <w:proofErr w:type="spellStart"/>
            <w:r w:rsidRPr="0021164B">
              <w:t>licences</w:t>
            </w:r>
            <w:proofErr w:type="spellEnd"/>
            <w:r w:rsidRPr="0021164B">
              <w:t xml:space="preserve"> and permits; fire inspector; health inspector; zoning and restrictive b</w:t>
            </w:r>
            <w:r w:rsidRPr="004751C9">
              <w:t>y</w:t>
            </w:r>
            <w:r w:rsidRPr="0021164B">
              <w:t>laws.</w:t>
            </w:r>
          </w:p>
        </w:tc>
        <w:tc>
          <w:tcPr>
            <w:tcW w:w="450" w:type="dxa"/>
            <w:tcBorders>
              <w:left w:val="single" w:sz="6" w:space="0" w:color="auto"/>
            </w:tcBorders>
          </w:tcPr>
          <w:p w14:paraId="5DE2115B" w14:textId="77777777" w:rsidR="005B4780" w:rsidRPr="00CA6574" w:rsidRDefault="005B4780" w:rsidP="005B4780">
            <w:pPr>
              <w:pStyle w:val="Level2"/>
            </w:pPr>
          </w:p>
        </w:tc>
        <w:tc>
          <w:tcPr>
            <w:tcW w:w="450" w:type="dxa"/>
            <w:tcBorders>
              <w:left w:val="single" w:sz="6" w:space="0" w:color="auto"/>
            </w:tcBorders>
          </w:tcPr>
          <w:p w14:paraId="44C0C300" w14:textId="77777777" w:rsidR="005B4780" w:rsidRPr="00CA6574" w:rsidRDefault="005B4780" w:rsidP="005B4780">
            <w:pPr>
              <w:pStyle w:val="Level2"/>
            </w:pPr>
          </w:p>
        </w:tc>
        <w:tc>
          <w:tcPr>
            <w:tcW w:w="450" w:type="dxa"/>
            <w:tcBorders>
              <w:left w:val="single" w:sz="6" w:space="0" w:color="auto"/>
            </w:tcBorders>
          </w:tcPr>
          <w:p w14:paraId="3205A2E7" w14:textId="77777777" w:rsidR="005B4780" w:rsidRPr="00CA6574" w:rsidRDefault="005B4780" w:rsidP="005B4780">
            <w:pPr>
              <w:pStyle w:val="Level2"/>
            </w:pPr>
          </w:p>
        </w:tc>
        <w:tc>
          <w:tcPr>
            <w:tcW w:w="1001" w:type="dxa"/>
            <w:tcBorders>
              <w:left w:val="single" w:sz="6" w:space="0" w:color="auto"/>
            </w:tcBorders>
          </w:tcPr>
          <w:p w14:paraId="1D4751D6" w14:textId="77777777" w:rsidR="005B4780" w:rsidRPr="00CA6574" w:rsidRDefault="005B4780" w:rsidP="005B4780">
            <w:pPr>
              <w:pStyle w:val="Level2"/>
            </w:pPr>
          </w:p>
        </w:tc>
        <w:tc>
          <w:tcPr>
            <w:tcW w:w="1001" w:type="dxa"/>
            <w:tcBorders>
              <w:left w:val="single" w:sz="6" w:space="0" w:color="auto"/>
            </w:tcBorders>
          </w:tcPr>
          <w:p w14:paraId="541B3105" w14:textId="77777777" w:rsidR="005B4780" w:rsidRPr="00CA6574" w:rsidRDefault="005B4780" w:rsidP="005B4780">
            <w:pPr>
              <w:pStyle w:val="Level2"/>
            </w:pPr>
          </w:p>
        </w:tc>
      </w:tr>
      <w:tr w:rsidR="005B4780" w:rsidRPr="00CA6574" w14:paraId="7D2E3CE0" w14:textId="77777777" w:rsidTr="00E07141">
        <w:trPr>
          <w:cantSplit/>
          <w:trHeight w:val="486"/>
        </w:trPr>
        <w:tc>
          <w:tcPr>
            <w:tcW w:w="6948" w:type="dxa"/>
          </w:tcPr>
          <w:p w14:paraId="1EA3B498" w14:textId="77777777" w:rsidR="005B4780" w:rsidRPr="00CA6574" w:rsidRDefault="005B4780" w:rsidP="005B4780">
            <w:pPr>
              <w:pStyle w:val="Level2"/>
            </w:pPr>
            <w:r w:rsidRPr="00CA6574">
              <w:tab/>
              <w:t>.11</w:t>
            </w:r>
            <w:r w:rsidRPr="00CA6574">
              <w:tab/>
              <w:t xml:space="preserve">Court registry </w:t>
            </w:r>
            <w:r>
              <w:t>search re: actions commenced against the target company and vendor</w:t>
            </w:r>
            <w:r w:rsidRPr="00CA6574">
              <w:t xml:space="preserve"> in each area where the target company (and, in some instances, the vendor) has substantial business dealings.</w:t>
            </w:r>
          </w:p>
        </w:tc>
        <w:tc>
          <w:tcPr>
            <w:tcW w:w="450" w:type="dxa"/>
            <w:tcBorders>
              <w:left w:val="single" w:sz="6" w:space="0" w:color="auto"/>
            </w:tcBorders>
          </w:tcPr>
          <w:p w14:paraId="0953F374" w14:textId="77777777" w:rsidR="005B4780" w:rsidRPr="00CA6574" w:rsidRDefault="005B4780" w:rsidP="005B4780">
            <w:pPr>
              <w:pStyle w:val="Level2"/>
            </w:pPr>
          </w:p>
        </w:tc>
        <w:tc>
          <w:tcPr>
            <w:tcW w:w="450" w:type="dxa"/>
            <w:tcBorders>
              <w:left w:val="single" w:sz="6" w:space="0" w:color="auto"/>
            </w:tcBorders>
          </w:tcPr>
          <w:p w14:paraId="74AF6082" w14:textId="77777777" w:rsidR="005B4780" w:rsidRPr="00CA6574" w:rsidRDefault="005B4780" w:rsidP="005B4780">
            <w:pPr>
              <w:pStyle w:val="Level2"/>
            </w:pPr>
          </w:p>
        </w:tc>
        <w:tc>
          <w:tcPr>
            <w:tcW w:w="450" w:type="dxa"/>
            <w:tcBorders>
              <w:left w:val="single" w:sz="6" w:space="0" w:color="auto"/>
            </w:tcBorders>
          </w:tcPr>
          <w:p w14:paraId="07166459" w14:textId="77777777" w:rsidR="005B4780" w:rsidRPr="00CA6574" w:rsidRDefault="005B4780" w:rsidP="005B4780">
            <w:pPr>
              <w:pStyle w:val="Level2"/>
            </w:pPr>
          </w:p>
        </w:tc>
        <w:tc>
          <w:tcPr>
            <w:tcW w:w="1001" w:type="dxa"/>
            <w:tcBorders>
              <w:left w:val="single" w:sz="6" w:space="0" w:color="auto"/>
            </w:tcBorders>
          </w:tcPr>
          <w:p w14:paraId="01146D3F" w14:textId="77777777" w:rsidR="005B4780" w:rsidRPr="00CA6574" w:rsidRDefault="005B4780" w:rsidP="005B4780">
            <w:pPr>
              <w:pStyle w:val="Level2"/>
            </w:pPr>
          </w:p>
        </w:tc>
        <w:tc>
          <w:tcPr>
            <w:tcW w:w="1001" w:type="dxa"/>
            <w:tcBorders>
              <w:left w:val="single" w:sz="6" w:space="0" w:color="auto"/>
            </w:tcBorders>
          </w:tcPr>
          <w:p w14:paraId="07AFC53C" w14:textId="77777777" w:rsidR="005B4780" w:rsidRPr="00CA6574" w:rsidRDefault="005B4780" w:rsidP="005B4780">
            <w:pPr>
              <w:pStyle w:val="Level2"/>
            </w:pPr>
          </w:p>
        </w:tc>
      </w:tr>
      <w:tr w:rsidR="005B4780" w:rsidRPr="00CA6574" w14:paraId="198EA517" w14:textId="77777777">
        <w:trPr>
          <w:cantSplit/>
          <w:trHeight w:val="306"/>
        </w:trPr>
        <w:tc>
          <w:tcPr>
            <w:tcW w:w="6948" w:type="dxa"/>
          </w:tcPr>
          <w:p w14:paraId="71E25DE9" w14:textId="77777777" w:rsidR="005B4780" w:rsidRPr="00CA6574" w:rsidRDefault="005B4780" w:rsidP="005B4780">
            <w:pPr>
              <w:pStyle w:val="Level2"/>
            </w:pPr>
            <w:r w:rsidRPr="00CA6574">
              <w:tab/>
              <w:t>.12</w:t>
            </w:r>
            <w:r w:rsidRPr="00CA6574">
              <w:tab/>
              <w:t>Sheriff’s offices for writs of execution.</w:t>
            </w:r>
          </w:p>
        </w:tc>
        <w:tc>
          <w:tcPr>
            <w:tcW w:w="450" w:type="dxa"/>
            <w:tcBorders>
              <w:left w:val="single" w:sz="6" w:space="0" w:color="auto"/>
            </w:tcBorders>
          </w:tcPr>
          <w:p w14:paraId="1439B7E5" w14:textId="77777777" w:rsidR="005B4780" w:rsidRPr="00CA6574" w:rsidRDefault="005B4780" w:rsidP="005B4780">
            <w:pPr>
              <w:pStyle w:val="Level2"/>
            </w:pPr>
          </w:p>
        </w:tc>
        <w:tc>
          <w:tcPr>
            <w:tcW w:w="450" w:type="dxa"/>
            <w:tcBorders>
              <w:left w:val="single" w:sz="6" w:space="0" w:color="auto"/>
            </w:tcBorders>
          </w:tcPr>
          <w:p w14:paraId="05509699" w14:textId="77777777" w:rsidR="005B4780" w:rsidRPr="00CA6574" w:rsidRDefault="005B4780" w:rsidP="005B4780">
            <w:pPr>
              <w:pStyle w:val="Level2"/>
            </w:pPr>
          </w:p>
        </w:tc>
        <w:tc>
          <w:tcPr>
            <w:tcW w:w="450" w:type="dxa"/>
            <w:tcBorders>
              <w:left w:val="single" w:sz="6" w:space="0" w:color="auto"/>
            </w:tcBorders>
          </w:tcPr>
          <w:p w14:paraId="7FAE2D37" w14:textId="77777777" w:rsidR="005B4780" w:rsidRPr="00CA6574" w:rsidRDefault="005B4780" w:rsidP="005B4780">
            <w:pPr>
              <w:pStyle w:val="Level2"/>
            </w:pPr>
          </w:p>
        </w:tc>
        <w:tc>
          <w:tcPr>
            <w:tcW w:w="1001" w:type="dxa"/>
            <w:tcBorders>
              <w:left w:val="single" w:sz="6" w:space="0" w:color="auto"/>
            </w:tcBorders>
          </w:tcPr>
          <w:p w14:paraId="58099BAD" w14:textId="77777777" w:rsidR="005B4780" w:rsidRPr="00CA6574" w:rsidRDefault="005B4780" w:rsidP="005B4780">
            <w:pPr>
              <w:pStyle w:val="Level2"/>
            </w:pPr>
          </w:p>
        </w:tc>
        <w:tc>
          <w:tcPr>
            <w:tcW w:w="1001" w:type="dxa"/>
            <w:tcBorders>
              <w:left w:val="single" w:sz="6" w:space="0" w:color="auto"/>
            </w:tcBorders>
          </w:tcPr>
          <w:p w14:paraId="03A63011" w14:textId="77777777" w:rsidR="005B4780" w:rsidRPr="00CA6574" w:rsidRDefault="005B4780" w:rsidP="005B4780">
            <w:pPr>
              <w:pStyle w:val="Level2"/>
            </w:pPr>
          </w:p>
        </w:tc>
      </w:tr>
      <w:tr w:rsidR="005B4780" w:rsidRPr="00CA6574" w14:paraId="35B6E0F3" w14:textId="77777777" w:rsidTr="00E07141">
        <w:trPr>
          <w:cantSplit/>
          <w:trHeight w:val="270"/>
        </w:trPr>
        <w:tc>
          <w:tcPr>
            <w:tcW w:w="6948" w:type="dxa"/>
          </w:tcPr>
          <w:p w14:paraId="10601D94" w14:textId="1EAC9E46" w:rsidR="005B4780" w:rsidRPr="00CA6574" w:rsidRDefault="005B4780" w:rsidP="005B4780">
            <w:pPr>
              <w:pStyle w:val="Level2"/>
            </w:pPr>
            <w:r w:rsidRPr="00CA6574">
              <w:tab/>
              <w:t>.13</w:t>
            </w:r>
            <w:r w:rsidRPr="00CA6574">
              <w:tab/>
            </w:r>
            <w:r>
              <w:t>B.C. Ministry of Finance: PST</w:t>
            </w:r>
            <w:r w:rsidR="005E6C8C">
              <w:t xml:space="preserve"> and </w:t>
            </w:r>
            <w:r w:rsidR="001C0D82">
              <w:t>e</w:t>
            </w:r>
            <w:r w:rsidR="005E6C8C">
              <w:t xml:space="preserve">mployer </w:t>
            </w:r>
            <w:r w:rsidR="001C0D82">
              <w:t>h</w:t>
            </w:r>
            <w:r w:rsidR="005E6C8C">
              <w:t xml:space="preserve">ealth </w:t>
            </w:r>
            <w:r w:rsidR="001C0D82">
              <w:t>t</w:t>
            </w:r>
            <w:r w:rsidR="005E6C8C">
              <w:t>ax</w:t>
            </w:r>
            <w:r w:rsidR="001C0D82">
              <w:t>.</w:t>
            </w:r>
          </w:p>
        </w:tc>
        <w:tc>
          <w:tcPr>
            <w:tcW w:w="450" w:type="dxa"/>
            <w:tcBorders>
              <w:left w:val="single" w:sz="6" w:space="0" w:color="auto"/>
            </w:tcBorders>
          </w:tcPr>
          <w:p w14:paraId="525B6F69" w14:textId="77777777" w:rsidR="005B4780" w:rsidRPr="00CA6574" w:rsidRDefault="005B4780" w:rsidP="005B4780">
            <w:pPr>
              <w:pStyle w:val="Level2"/>
            </w:pPr>
          </w:p>
        </w:tc>
        <w:tc>
          <w:tcPr>
            <w:tcW w:w="450" w:type="dxa"/>
            <w:tcBorders>
              <w:left w:val="single" w:sz="6" w:space="0" w:color="auto"/>
            </w:tcBorders>
          </w:tcPr>
          <w:p w14:paraId="18CDF546" w14:textId="77777777" w:rsidR="005B4780" w:rsidRPr="00CA6574" w:rsidRDefault="005B4780" w:rsidP="005B4780">
            <w:pPr>
              <w:pStyle w:val="Level2"/>
            </w:pPr>
          </w:p>
        </w:tc>
        <w:tc>
          <w:tcPr>
            <w:tcW w:w="450" w:type="dxa"/>
            <w:tcBorders>
              <w:left w:val="single" w:sz="6" w:space="0" w:color="auto"/>
            </w:tcBorders>
          </w:tcPr>
          <w:p w14:paraId="30474803" w14:textId="77777777" w:rsidR="005B4780" w:rsidRPr="00CA6574" w:rsidRDefault="005B4780" w:rsidP="005B4780">
            <w:pPr>
              <w:pStyle w:val="Level2"/>
            </w:pPr>
          </w:p>
        </w:tc>
        <w:tc>
          <w:tcPr>
            <w:tcW w:w="1001" w:type="dxa"/>
            <w:tcBorders>
              <w:left w:val="single" w:sz="6" w:space="0" w:color="auto"/>
            </w:tcBorders>
          </w:tcPr>
          <w:p w14:paraId="39A25CCD" w14:textId="77777777" w:rsidR="005B4780" w:rsidRPr="00CA6574" w:rsidRDefault="005B4780" w:rsidP="005B4780">
            <w:pPr>
              <w:pStyle w:val="Level2"/>
            </w:pPr>
          </w:p>
        </w:tc>
        <w:tc>
          <w:tcPr>
            <w:tcW w:w="1001" w:type="dxa"/>
            <w:tcBorders>
              <w:left w:val="single" w:sz="6" w:space="0" w:color="auto"/>
            </w:tcBorders>
          </w:tcPr>
          <w:p w14:paraId="24CF09C7" w14:textId="77777777" w:rsidR="005B4780" w:rsidRPr="00CA6574" w:rsidRDefault="005B4780" w:rsidP="005B4780">
            <w:pPr>
              <w:pStyle w:val="Level2"/>
            </w:pPr>
          </w:p>
        </w:tc>
      </w:tr>
      <w:tr w:rsidR="005B4780" w:rsidRPr="00CA6574" w14:paraId="64218BCD" w14:textId="77777777" w:rsidTr="00E70FC8">
        <w:trPr>
          <w:cantSplit/>
          <w:trHeight w:val="324"/>
        </w:trPr>
        <w:tc>
          <w:tcPr>
            <w:tcW w:w="6948" w:type="dxa"/>
          </w:tcPr>
          <w:p w14:paraId="43E092F5" w14:textId="77777777" w:rsidR="005B4780" w:rsidRPr="00CA6574" w:rsidRDefault="005B4780" w:rsidP="005B4780">
            <w:pPr>
              <w:pStyle w:val="Level2"/>
            </w:pPr>
            <w:r w:rsidRPr="00CA6574">
              <w:tab/>
              <w:t>.14</w:t>
            </w:r>
            <w:r w:rsidRPr="00CA6574">
              <w:tab/>
              <w:t>Corporation capital tax.</w:t>
            </w:r>
          </w:p>
        </w:tc>
        <w:tc>
          <w:tcPr>
            <w:tcW w:w="450" w:type="dxa"/>
            <w:tcBorders>
              <w:left w:val="single" w:sz="6" w:space="0" w:color="auto"/>
            </w:tcBorders>
          </w:tcPr>
          <w:p w14:paraId="1972A230" w14:textId="77777777" w:rsidR="005B4780" w:rsidRPr="00CA6574" w:rsidRDefault="005B4780" w:rsidP="005B4780">
            <w:pPr>
              <w:pStyle w:val="Level2"/>
            </w:pPr>
          </w:p>
        </w:tc>
        <w:tc>
          <w:tcPr>
            <w:tcW w:w="450" w:type="dxa"/>
            <w:tcBorders>
              <w:left w:val="single" w:sz="6" w:space="0" w:color="auto"/>
            </w:tcBorders>
          </w:tcPr>
          <w:p w14:paraId="5DC4D577" w14:textId="77777777" w:rsidR="005B4780" w:rsidRPr="00CA6574" w:rsidRDefault="005B4780" w:rsidP="005B4780">
            <w:pPr>
              <w:pStyle w:val="Level2"/>
            </w:pPr>
          </w:p>
        </w:tc>
        <w:tc>
          <w:tcPr>
            <w:tcW w:w="450" w:type="dxa"/>
            <w:tcBorders>
              <w:left w:val="single" w:sz="6" w:space="0" w:color="auto"/>
            </w:tcBorders>
          </w:tcPr>
          <w:p w14:paraId="633E21C0" w14:textId="77777777" w:rsidR="005B4780" w:rsidRPr="00CA6574" w:rsidRDefault="005B4780" w:rsidP="005B4780">
            <w:pPr>
              <w:pStyle w:val="Level2"/>
            </w:pPr>
          </w:p>
        </w:tc>
        <w:tc>
          <w:tcPr>
            <w:tcW w:w="1001" w:type="dxa"/>
            <w:tcBorders>
              <w:left w:val="single" w:sz="6" w:space="0" w:color="auto"/>
            </w:tcBorders>
          </w:tcPr>
          <w:p w14:paraId="61A1B5B0" w14:textId="77777777" w:rsidR="005B4780" w:rsidRPr="00CA6574" w:rsidRDefault="005B4780" w:rsidP="005B4780">
            <w:pPr>
              <w:pStyle w:val="Level2"/>
            </w:pPr>
          </w:p>
        </w:tc>
        <w:tc>
          <w:tcPr>
            <w:tcW w:w="1001" w:type="dxa"/>
            <w:tcBorders>
              <w:left w:val="single" w:sz="6" w:space="0" w:color="auto"/>
            </w:tcBorders>
          </w:tcPr>
          <w:p w14:paraId="13C41335" w14:textId="77777777" w:rsidR="005B4780" w:rsidRPr="00CA6574" w:rsidRDefault="005B4780" w:rsidP="005B4780">
            <w:pPr>
              <w:pStyle w:val="Level2"/>
            </w:pPr>
          </w:p>
        </w:tc>
      </w:tr>
      <w:tr w:rsidR="005B4780" w:rsidRPr="00CA6574" w14:paraId="065F05AC" w14:textId="77777777">
        <w:trPr>
          <w:cantSplit/>
        </w:trPr>
        <w:tc>
          <w:tcPr>
            <w:tcW w:w="6948" w:type="dxa"/>
          </w:tcPr>
          <w:p w14:paraId="75FD3679" w14:textId="77777777" w:rsidR="005B4780" w:rsidRPr="00CA6574" w:rsidRDefault="005B4780" w:rsidP="005B4780">
            <w:pPr>
              <w:pStyle w:val="Level2"/>
            </w:pPr>
            <w:r w:rsidRPr="00CA6574">
              <w:lastRenderedPageBreak/>
              <w:tab/>
              <w:t>.15</w:t>
            </w:r>
            <w:r w:rsidRPr="00CA6574">
              <w:tab/>
              <w:t>Mining tax.</w:t>
            </w:r>
          </w:p>
        </w:tc>
        <w:tc>
          <w:tcPr>
            <w:tcW w:w="450" w:type="dxa"/>
            <w:tcBorders>
              <w:left w:val="single" w:sz="6" w:space="0" w:color="auto"/>
            </w:tcBorders>
          </w:tcPr>
          <w:p w14:paraId="0E1FBB98" w14:textId="77777777" w:rsidR="005B4780" w:rsidRPr="00CA6574" w:rsidRDefault="005B4780" w:rsidP="005B4780">
            <w:pPr>
              <w:pStyle w:val="Level2"/>
            </w:pPr>
          </w:p>
        </w:tc>
        <w:tc>
          <w:tcPr>
            <w:tcW w:w="450" w:type="dxa"/>
            <w:tcBorders>
              <w:left w:val="single" w:sz="6" w:space="0" w:color="auto"/>
            </w:tcBorders>
          </w:tcPr>
          <w:p w14:paraId="726C5E74" w14:textId="77777777" w:rsidR="005B4780" w:rsidRPr="00CA6574" w:rsidRDefault="005B4780" w:rsidP="005B4780">
            <w:pPr>
              <w:pStyle w:val="Level2"/>
            </w:pPr>
          </w:p>
        </w:tc>
        <w:tc>
          <w:tcPr>
            <w:tcW w:w="450" w:type="dxa"/>
            <w:tcBorders>
              <w:left w:val="single" w:sz="6" w:space="0" w:color="auto"/>
            </w:tcBorders>
          </w:tcPr>
          <w:p w14:paraId="427076BC" w14:textId="77777777" w:rsidR="005B4780" w:rsidRPr="00CA6574" w:rsidRDefault="005B4780" w:rsidP="005B4780">
            <w:pPr>
              <w:pStyle w:val="Level2"/>
            </w:pPr>
          </w:p>
        </w:tc>
        <w:tc>
          <w:tcPr>
            <w:tcW w:w="1001" w:type="dxa"/>
            <w:tcBorders>
              <w:left w:val="single" w:sz="6" w:space="0" w:color="auto"/>
            </w:tcBorders>
          </w:tcPr>
          <w:p w14:paraId="6F87E808" w14:textId="77777777" w:rsidR="005B4780" w:rsidRPr="00CA6574" w:rsidRDefault="005B4780" w:rsidP="005B4780">
            <w:pPr>
              <w:pStyle w:val="Level2"/>
            </w:pPr>
          </w:p>
        </w:tc>
        <w:tc>
          <w:tcPr>
            <w:tcW w:w="1001" w:type="dxa"/>
            <w:tcBorders>
              <w:left w:val="single" w:sz="6" w:space="0" w:color="auto"/>
            </w:tcBorders>
          </w:tcPr>
          <w:p w14:paraId="4BDD5DA9" w14:textId="77777777" w:rsidR="005B4780" w:rsidRPr="00CA6574" w:rsidRDefault="005B4780" w:rsidP="005B4780">
            <w:pPr>
              <w:pStyle w:val="Level2"/>
            </w:pPr>
          </w:p>
        </w:tc>
      </w:tr>
      <w:tr w:rsidR="005B4780" w:rsidRPr="00CA6574" w14:paraId="4E540A7D" w14:textId="77777777">
        <w:trPr>
          <w:cantSplit/>
        </w:trPr>
        <w:tc>
          <w:tcPr>
            <w:tcW w:w="6948" w:type="dxa"/>
          </w:tcPr>
          <w:p w14:paraId="066952D5" w14:textId="77777777" w:rsidR="005B4780" w:rsidRPr="00CA6574" w:rsidRDefault="005B4780" w:rsidP="005B4780">
            <w:pPr>
              <w:pStyle w:val="Level2"/>
            </w:pPr>
            <w:r w:rsidRPr="00CA6574">
              <w:tab/>
              <w:t>.16</w:t>
            </w:r>
            <w:r w:rsidRPr="00CA6574">
              <w:tab/>
              <w:t>Logging tax.</w:t>
            </w:r>
          </w:p>
        </w:tc>
        <w:tc>
          <w:tcPr>
            <w:tcW w:w="450" w:type="dxa"/>
            <w:tcBorders>
              <w:left w:val="single" w:sz="6" w:space="0" w:color="auto"/>
            </w:tcBorders>
          </w:tcPr>
          <w:p w14:paraId="119B6377" w14:textId="77777777" w:rsidR="005B4780" w:rsidRPr="00CA6574" w:rsidRDefault="005B4780" w:rsidP="005B4780">
            <w:pPr>
              <w:pStyle w:val="Level2"/>
            </w:pPr>
          </w:p>
        </w:tc>
        <w:tc>
          <w:tcPr>
            <w:tcW w:w="450" w:type="dxa"/>
            <w:tcBorders>
              <w:left w:val="single" w:sz="6" w:space="0" w:color="auto"/>
            </w:tcBorders>
          </w:tcPr>
          <w:p w14:paraId="1143748C" w14:textId="77777777" w:rsidR="005B4780" w:rsidRPr="00CA6574" w:rsidRDefault="005B4780" w:rsidP="005B4780">
            <w:pPr>
              <w:pStyle w:val="Level2"/>
            </w:pPr>
          </w:p>
        </w:tc>
        <w:tc>
          <w:tcPr>
            <w:tcW w:w="450" w:type="dxa"/>
            <w:tcBorders>
              <w:left w:val="single" w:sz="6" w:space="0" w:color="auto"/>
            </w:tcBorders>
          </w:tcPr>
          <w:p w14:paraId="63DAC7B2" w14:textId="77777777" w:rsidR="005B4780" w:rsidRPr="00CA6574" w:rsidRDefault="005B4780" w:rsidP="005B4780">
            <w:pPr>
              <w:pStyle w:val="Level2"/>
            </w:pPr>
          </w:p>
        </w:tc>
        <w:tc>
          <w:tcPr>
            <w:tcW w:w="1001" w:type="dxa"/>
            <w:tcBorders>
              <w:left w:val="single" w:sz="6" w:space="0" w:color="auto"/>
            </w:tcBorders>
          </w:tcPr>
          <w:p w14:paraId="5B2BD147" w14:textId="77777777" w:rsidR="005B4780" w:rsidRPr="00CA6574" w:rsidRDefault="005B4780" w:rsidP="005B4780">
            <w:pPr>
              <w:pStyle w:val="Level2"/>
            </w:pPr>
          </w:p>
        </w:tc>
        <w:tc>
          <w:tcPr>
            <w:tcW w:w="1001" w:type="dxa"/>
            <w:tcBorders>
              <w:left w:val="single" w:sz="6" w:space="0" w:color="auto"/>
            </w:tcBorders>
          </w:tcPr>
          <w:p w14:paraId="3B0873EC" w14:textId="77777777" w:rsidR="005B4780" w:rsidRPr="00CA6574" w:rsidRDefault="005B4780" w:rsidP="005B4780">
            <w:pPr>
              <w:pStyle w:val="Level2"/>
            </w:pPr>
          </w:p>
        </w:tc>
      </w:tr>
      <w:tr w:rsidR="005B4780" w:rsidRPr="00CA6574" w14:paraId="259FD33D" w14:textId="77777777">
        <w:trPr>
          <w:cantSplit/>
        </w:trPr>
        <w:tc>
          <w:tcPr>
            <w:tcW w:w="6948" w:type="dxa"/>
          </w:tcPr>
          <w:p w14:paraId="09232A84" w14:textId="77777777" w:rsidR="005B4780" w:rsidRPr="00CA6574" w:rsidRDefault="005B4780" w:rsidP="005B4780">
            <w:pPr>
              <w:pStyle w:val="Level2"/>
            </w:pPr>
            <w:r w:rsidRPr="00CA6574">
              <w:tab/>
              <w:t>.17</w:t>
            </w:r>
            <w:r w:rsidRPr="00CA6574">
              <w:tab/>
              <w:t>Motor fuel tax.</w:t>
            </w:r>
          </w:p>
        </w:tc>
        <w:tc>
          <w:tcPr>
            <w:tcW w:w="450" w:type="dxa"/>
            <w:tcBorders>
              <w:left w:val="single" w:sz="6" w:space="0" w:color="auto"/>
            </w:tcBorders>
          </w:tcPr>
          <w:p w14:paraId="2522B9E9" w14:textId="77777777" w:rsidR="005B4780" w:rsidRPr="00CA6574" w:rsidRDefault="005B4780" w:rsidP="005B4780">
            <w:pPr>
              <w:pStyle w:val="Level2"/>
            </w:pPr>
          </w:p>
        </w:tc>
        <w:tc>
          <w:tcPr>
            <w:tcW w:w="450" w:type="dxa"/>
            <w:tcBorders>
              <w:left w:val="single" w:sz="6" w:space="0" w:color="auto"/>
            </w:tcBorders>
          </w:tcPr>
          <w:p w14:paraId="4042DCB6" w14:textId="77777777" w:rsidR="005B4780" w:rsidRPr="00CA6574" w:rsidRDefault="005B4780" w:rsidP="005B4780">
            <w:pPr>
              <w:pStyle w:val="Level2"/>
            </w:pPr>
          </w:p>
        </w:tc>
        <w:tc>
          <w:tcPr>
            <w:tcW w:w="450" w:type="dxa"/>
            <w:tcBorders>
              <w:left w:val="single" w:sz="6" w:space="0" w:color="auto"/>
            </w:tcBorders>
          </w:tcPr>
          <w:p w14:paraId="601A0D61" w14:textId="77777777" w:rsidR="005B4780" w:rsidRPr="00CA6574" w:rsidRDefault="005B4780" w:rsidP="005B4780">
            <w:pPr>
              <w:pStyle w:val="Level2"/>
            </w:pPr>
          </w:p>
        </w:tc>
        <w:tc>
          <w:tcPr>
            <w:tcW w:w="1001" w:type="dxa"/>
            <w:tcBorders>
              <w:left w:val="single" w:sz="6" w:space="0" w:color="auto"/>
            </w:tcBorders>
          </w:tcPr>
          <w:p w14:paraId="62802537" w14:textId="77777777" w:rsidR="005B4780" w:rsidRPr="00CA6574" w:rsidRDefault="005B4780" w:rsidP="005B4780">
            <w:pPr>
              <w:pStyle w:val="Level2"/>
            </w:pPr>
          </w:p>
        </w:tc>
        <w:tc>
          <w:tcPr>
            <w:tcW w:w="1001" w:type="dxa"/>
            <w:tcBorders>
              <w:left w:val="single" w:sz="6" w:space="0" w:color="auto"/>
            </w:tcBorders>
          </w:tcPr>
          <w:p w14:paraId="6920AD28" w14:textId="77777777" w:rsidR="005B4780" w:rsidRPr="00CA6574" w:rsidRDefault="005B4780" w:rsidP="005B4780">
            <w:pPr>
              <w:pStyle w:val="Level2"/>
            </w:pPr>
          </w:p>
        </w:tc>
      </w:tr>
      <w:tr w:rsidR="005B4780" w:rsidRPr="00CA6574" w14:paraId="2C9433D0" w14:textId="77777777" w:rsidTr="00234BE8">
        <w:trPr>
          <w:cantSplit/>
          <w:trHeight w:val="234"/>
        </w:trPr>
        <w:tc>
          <w:tcPr>
            <w:tcW w:w="6948" w:type="dxa"/>
          </w:tcPr>
          <w:p w14:paraId="7F77A0BA" w14:textId="77777777" w:rsidR="005B4780" w:rsidRPr="00CA6574" w:rsidRDefault="005B4780" w:rsidP="005B4780">
            <w:pPr>
              <w:pStyle w:val="Level2"/>
            </w:pPr>
            <w:r w:rsidRPr="00CA6574">
              <w:tab/>
              <w:t>.18</w:t>
            </w:r>
            <w:r w:rsidRPr="00CA6574">
              <w:tab/>
              <w:t>Insurance premium tax.</w:t>
            </w:r>
          </w:p>
        </w:tc>
        <w:tc>
          <w:tcPr>
            <w:tcW w:w="450" w:type="dxa"/>
            <w:tcBorders>
              <w:left w:val="single" w:sz="6" w:space="0" w:color="auto"/>
            </w:tcBorders>
          </w:tcPr>
          <w:p w14:paraId="2B5DEA0C" w14:textId="77777777" w:rsidR="005B4780" w:rsidRPr="00CA6574" w:rsidRDefault="005B4780" w:rsidP="005B4780">
            <w:pPr>
              <w:pStyle w:val="Level2"/>
            </w:pPr>
          </w:p>
        </w:tc>
        <w:tc>
          <w:tcPr>
            <w:tcW w:w="450" w:type="dxa"/>
            <w:tcBorders>
              <w:left w:val="single" w:sz="6" w:space="0" w:color="auto"/>
            </w:tcBorders>
          </w:tcPr>
          <w:p w14:paraId="4CE8862E" w14:textId="77777777" w:rsidR="005B4780" w:rsidRPr="00CA6574" w:rsidRDefault="005B4780" w:rsidP="005B4780">
            <w:pPr>
              <w:pStyle w:val="Level2"/>
            </w:pPr>
          </w:p>
        </w:tc>
        <w:tc>
          <w:tcPr>
            <w:tcW w:w="450" w:type="dxa"/>
            <w:tcBorders>
              <w:left w:val="single" w:sz="6" w:space="0" w:color="auto"/>
            </w:tcBorders>
          </w:tcPr>
          <w:p w14:paraId="0F7078EB" w14:textId="77777777" w:rsidR="005B4780" w:rsidRPr="00CA6574" w:rsidRDefault="005B4780" w:rsidP="005B4780">
            <w:pPr>
              <w:pStyle w:val="Level2"/>
            </w:pPr>
          </w:p>
        </w:tc>
        <w:tc>
          <w:tcPr>
            <w:tcW w:w="1001" w:type="dxa"/>
            <w:tcBorders>
              <w:left w:val="single" w:sz="6" w:space="0" w:color="auto"/>
            </w:tcBorders>
          </w:tcPr>
          <w:p w14:paraId="68DB798E" w14:textId="77777777" w:rsidR="005B4780" w:rsidRPr="00CA6574" w:rsidRDefault="005B4780" w:rsidP="005B4780">
            <w:pPr>
              <w:pStyle w:val="Level2"/>
            </w:pPr>
          </w:p>
        </w:tc>
        <w:tc>
          <w:tcPr>
            <w:tcW w:w="1001" w:type="dxa"/>
            <w:tcBorders>
              <w:left w:val="single" w:sz="6" w:space="0" w:color="auto"/>
            </w:tcBorders>
          </w:tcPr>
          <w:p w14:paraId="46D3208A" w14:textId="77777777" w:rsidR="005B4780" w:rsidRPr="00CA6574" w:rsidRDefault="005B4780" w:rsidP="005B4780">
            <w:pPr>
              <w:pStyle w:val="Level2"/>
            </w:pPr>
          </w:p>
        </w:tc>
      </w:tr>
      <w:tr w:rsidR="005B4780" w:rsidRPr="00CA6574" w14:paraId="6B9A05AF" w14:textId="77777777">
        <w:trPr>
          <w:cantSplit/>
        </w:trPr>
        <w:tc>
          <w:tcPr>
            <w:tcW w:w="6948" w:type="dxa"/>
          </w:tcPr>
          <w:p w14:paraId="4C9478B2" w14:textId="77777777" w:rsidR="005B4780" w:rsidRPr="00CA6574" w:rsidRDefault="005B4780" w:rsidP="005B4780">
            <w:pPr>
              <w:pStyle w:val="Level2"/>
            </w:pPr>
            <w:r w:rsidRPr="00CA6574">
              <w:tab/>
              <w:t>.19</w:t>
            </w:r>
            <w:r w:rsidRPr="00CA6574">
              <w:tab/>
              <w:t>Canada Revenue Agency:</w:t>
            </w:r>
          </w:p>
        </w:tc>
        <w:tc>
          <w:tcPr>
            <w:tcW w:w="450" w:type="dxa"/>
            <w:tcBorders>
              <w:left w:val="single" w:sz="6" w:space="0" w:color="auto"/>
            </w:tcBorders>
          </w:tcPr>
          <w:p w14:paraId="76E71F19" w14:textId="77777777" w:rsidR="005B4780" w:rsidRPr="00CA6574" w:rsidRDefault="005B4780" w:rsidP="005B4780">
            <w:pPr>
              <w:pStyle w:val="Level2"/>
            </w:pPr>
          </w:p>
        </w:tc>
        <w:tc>
          <w:tcPr>
            <w:tcW w:w="450" w:type="dxa"/>
            <w:tcBorders>
              <w:left w:val="single" w:sz="6" w:space="0" w:color="auto"/>
            </w:tcBorders>
          </w:tcPr>
          <w:p w14:paraId="1BA10B81" w14:textId="77777777" w:rsidR="005B4780" w:rsidRPr="00CA6574" w:rsidRDefault="005B4780" w:rsidP="005B4780">
            <w:pPr>
              <w:pStyle w:val="Level2"/>
            </w:pPr>
          </w:p>
        </w:tc>
        <w:tc>
          <w:tcPr>
            <w:tcW w:w="450" w:type="dxa"/>
            <w:tcBorders>
              <w:left w:val="single" w:sz="6" w:space="0" w:color="auto"/>
            </w:tcBorders>
          </w:tcPr>
          <w:p w14:paraId="0C430C4A" w14:textId="77777777" w:rsidR="005B4780" w:rsidRPr="00CA6574" w:rsidRDefault="005B4780" w:rsidP="005B4780">
            <w:pPr>
              <w:pStyle w:val="Level2"/>
            </w:pPr>
          </w:p>
        </w:tc>
        <w:tc>
          <w:tcPr>
            <w:tcW w:w="1001" w:type="dxa"/>
            <w:tcBorders>
              <w:left w:val="single" w:sz="6" w:space="0" w:color="auto"/>
            </w:tcBorders>
          </w:tcPr>
          <w:p w14:paraId="033B1DBF" w14:textId="77777777" w:rsidR="005B4780" w:rsidRPr="00CA6574" w:rsidRDefault="005B4780" w:rsidP="005B4780">
            <w:pPr>
              <w:pStyle w:val="Level2"/>
            </w:pPr>
          </w:p>
        </w:tc>
        <w:tc>
          <w:tcPr>
            <w:tcW w:w="1001" w:type="dxa"/>
            <w:tcBorders>
              <w:left w:val="single" w:sz="6" w:space="0" w:color="auto"/>
            </w:tcBorders>
          </w:tcPr>
          <w:p w14:paraId="0DF0D7F8" w14:textId="77777777" w:rsidR="005B4780" w:rsidRPr="00CA6574" w:rsidRDefault="005B4780" w:rsidP="005B4780">
            <w:pPr>
              <w:pStyle w:val="Level2"/>
            </w:pPr>
          </w:p>
        </w:tc>
      </w:tr>
      <w:tr w:rsidR="005B4780" w:rsidRPr="00CA6574" w14:paraId="34298E1B" w14:textId="77777777" w:rsidTr="00E65623">
        <w:trPr>
          <w:cantSplit/>
          <w:trHeight w:val="297"/>
        </w:trPr>
        <w:tc>
          <w:tcPr>
            <w:tcW w:w="6948" w:type="dxa"/>
          </w:tcPr>
          <w:p w14:paraId="0ED8EB16" w14:textId="77777777" w:rsidR="005B4780" w:rsidRPr="00CA6574" w:rsidRDefault="005B4780" w:rsidP="005B4780">
            <w:pPr>
              <w:pStyle w:val="Level3"/>
              <w:numPr>
                <w:ilvl w:val="0"/>
                <w:numId w:val="5"/>
              </w:numPr>
            </w:pPr>
            <w:r w:rsidRPr="0021164B">
              <w:t>Income tax re: source deductions and corporate or personal i</w:t>
            </w:r>
            <w:r w:rsidRPr="004751C9">
              <w:t>ncome tax.</w:t>
            </w:r>
          </w:p>
        </w:tc>
        <w:tc>
          <w:tcPr>
            <w:tcW w:w="450" w:type="dxa"/>
            <w:tcBorders>
              <w:left w:val="single" w:sz="6" w:space="0" w:color="auto"/>
            </w:tcBorders>
          </w:tcPr>
          <w:p w14:paraId="32BF5CAC" w14:textId="77777777" w:rsidR="005B4780" w:rsidRPr="00CA6574" w:rsidRDefault="005B4780" w:rsidP="005B4780">
            <w:pPr>
              <w:pStyle w:val="Level3"/>
            </w:pPr>
          </w:p>
        </w:tc>
        <w:tc>
          <w:tcPr>
            <w:tcW w:w="450" w:type="dxa"/>
            <w:tcBorders>
              <w:left w:val="single" w:sz="6" w:space="0" w:color="auto"/>
            </w:tcBorders>
          </w:tcPr>
          <w:p w14:paraId="7252F65E" w14:textId="77777777" w:rsidR="005B4780" w:rsidRPr="00CA6574" w:rsidRDefault="005B4780" w:rsidP="005B4780">
            <w:pPr>
              <w:pStyle w:val="Level3"/>
            </w:pPr>
          </w:p>
        </w:tc>
        <w:tc>
          <w:tcPr>
            <w:tcW w:w="450" w:type="dxa"/>
            <w:tcBorders>
              <w:left w:val="single" w:sz="6" w:space="0" w:color="auto"/>
            </w:tcBorders>
          </w:tcPr>
          <w:p w14:paraId="73C263B7" w14:textId="77777777" w:rsidR="005B4780" w:rsidRPr="00CA6574" w:rsidRDefault="005B4780" w:rsidP="005B4780">
            <w:pPr>
              <w:pStyle w:val="Level3"/>
            </w:pPr>
          </w:p>
        </w:tc>
        <w:tc>
          <w:tcPr>
            <w:tcW w:w="1001" w:type="dxa"/>
            <w:tcBorders>
              <w:left w:val="single" w:sz="6" w:space="0" w:color="auto"/>
            </w:tcBorders>
          </w:tcPr>
          <w:p w14:paraId="03784F28" w14:textId="77777777" w:rsidR="005B4780" w:rsidRPr="00CA6574" w:rsidRDefault="005B4780" w:rsidP="005B4780">
            <w:pPr>
              <w:pStyle w:val="Level3"/>
            </w:pPr>
          </w:p>
        </w:tc>
        <w:tc>
          <w:tcPr>
            <w:tcW w:w="1001" w:type="dxa"/>
            <w:tcBorders>
              <w:left w:val="single" w:sz="6" w:space="0" w:color="auto"/>
            </w:tcBorders>
          </w:tcPr>
          <w:p w14:paraId="398165C2" w14:textId="77777777" w:rsidR="005B4780" w:rsidRPr="00CA6574" w:rsidRDefault="005B4780" w:rsidP="005B4780">
            <w:pPr>
              <w:pStyle w:val="Level3"/>
            </w:pPr>
          </w:p>
        </w:tc>
      </w:tr>
      <w:tr w:rsidR="005B4780" w:rsidRPr="00CA6574" w14:paraId="14F7F4AA" w14:textId="77777777" w:rsidTr="002A5313">
        <w:trPr>
          <w:cantSplit/>
          <w:trHeight w:val="261"/>
        </w:trPr>
        <w:tc>
          <w:tcPr>
            <w:tcW w:w="6948" w:type="dxa"/>
          </w:tcPr>
          <w:p w14:paraId="393D785A" w14:textId="77777777" w:rsidR="005B4780" w:rsidRPr="00CA6574" w:rsidRDefault="005B4780" w:rsidP="005B4780">
            <w:pPr>
              <w:pStyle w:val="Level3"/>
              <w:numPr>
                <w:ilvl w:val="0"/>
                <w:numId w:val="5"/>
              </w:numPr>
            </w:pPr>
            <w:r w:rsidRPr="00CA6574">
              <w:t>GST</w:t>
            </w:r>
            <w:r w:rsidRPr="004751C9">
              <w:t>/HST.</w:t>
            </w:r>
          </w:p>
        </w:tc>
        <w:tc>
          <w:tcPr>
            <w:tcW w:w="450" w:type="dxa"/>
            <w:tcBorders>
              <w:left w:val="single" w:sz="6" w:space="0" w:color="auto"/>
            </w:tcBorders>
          </w:tcPr>
          <w:p w14:paraId="063EE6AC" w14:textId="77777777" w:rsidR="005B4780" w:rsidRPr="00CA6574" w:rsidRDefault="005B4780" w:rsidP="005B4780">
            <w:pPr>
              <w:pStyle w:val="Level3"/>
            </w:pPr>
          </w:p>
        </w:tc>
        <w:tc>
          <w:tcPr>
            <w:tcW w:w="450" w:type="dxa"/>
            <w:tcBorders>
              <w:left w:val="single" w:sz="6" w:space="0" w:color="auto"/>
            </w:tcBorders>
          </w:tcPr>
          <w:p w14:paraId="3623FD06" w14:textId="77777777" w:rsidR="005B4780" w:rsidRPr="00CA6574" w:rsidRDefault="005B4780" w:rsidP="005B4780">
            <w:pPr>
              <w:pStyle w:val="Level3"/>
            </w:pPr>
          </w:p>
        </w:tc>
        <w:tc>
          <w:tcPr>
            <w:tcW w:w="450" w:type="dxa"/>
            <w:tcBorders>
              <w:left w:val="single" w:sz="6" w:space="0" w:color="auto"/>
            </w:tcBorders>
          </w:tcPr>
          <w:p w14:paraId="1DAE8CEC" w14:textId="77777777" w:rsidR="005B4780" w:rsidRPr="00CA6574" w:rsidRDefault="005B4780" w:rsidP="005B4780">
            <w:pPr>
              <w:pStyle w:val="Level3"/>
            </w:pPr>
          </w:p>
        </w:tc>
        <w:tc>
          <w:tcPr>
            <w:tcW w:w="1001" w:type="dxa"/>
            <w:tcBorders>
              <w:left w:val="single" w:sz="6" w:space="0" w:color="auto"/>
            </w:tcBorders>
          </w:tcPr>
          <w:p w14:paraId="4C6106FC" w14:textId="77777777" w:rsidR="005B4780" w:rsidRPr="00CA6574" w:rsidRDefault="005B4780" w:rsidP="005B4780">
            <w:pPr>
              <w:pStyle w:val="Level3"/>
            </w:pPr>
          </w:p>
        </w:tc>
        <w:tc>
          <w:tcPr>
            <w:tcW w:w="1001" w:type="dxa"/>
            <w:tcBorders>
              <w:left w:val="single" w:sz="6" w:space="0" w:color="auto"/>
            </w:tcBorders>
          </w:tcPr>
          <w:p w14:paraId="4155D5CD" w14:textId="77777777" w:rsidR="005B4780" w:rsidRPr="00CA6574" w:rsidRDefault="005B4780" w:rsidP="005B4780">
            <w:pPr>
              <w:pStyle w:val="Level3"/>
            </w:pPr>
          </w:p>
        </w:tc>
      </w:tr>
      <w:tr w:rsidR="005B4780" w:rsidRPr="00CA6574" w14:paraId="43BD657A" w14:textId="77777777">
        <w:trPr>
          <w:cantSplit/>
          <w:trHeight w:val="540"/>
        </w:trPr>
        <w:tc>
          <w:tcPr>
            <w:tcW w:w="6948" w:type="dxa"/>
          </w:tcPr>
          <w:p w14:paraId="0771D369" w14:textId="77777777" w:rsidR="005B4780" w:rsidRPr="00CA6574" w:rsidRDefault="005B4780" w:rsidP="005B4780">
            <w:pPr>
              <w:pStyle w:val="Level2"/>
            </w:pPr>
            <w:r w:rsidRPr="00CA6574">
              <w:tab/>
              <w:t>.20</w:t>
            </w:r>
            <w:r w:rsidRPr="00CA6574">
              <w:tab/>
              <w:t>Consider credit searches and other search services for background on the target, the vendor, and the principals, as applicable.</w:t>
            </w:r>
          </w:p>
        </w:tc>
        <w:tc>
          <w:tcPr>
            <w:tcW w:w="450" w:type="dxa"/>
            <w:tcBorders>
              <w:left w:val="single" w:sz="6" w:space="0" w:color="auto"/>
            </w:tcBorders>
          </w:tcPr>
          <w:p w14:paraId="34C818B8" w14:textId="77777777" w:rsidR="005B4780" w:rsidRPr="00CA6574" w:rsidRDefault="005B4780" w:rsidP="005B4780">
            <w:pPr>
              <w:pStyle w:val="Level2"/>
            </w:pPr>
          </w:p>
        </w:tc>
        <w:tc>
          <w:tcPr>
            <w:tcW w:w="450" w:type="dxa"/>
            <w:tcBorders>
              <w:left w:val="single" w:sz="6" w:space="0" w:color="auto"/>
            </w:tcBorders>
          </w:tcPr>
          <w:p w14:paraId="7B691FCF" w14:textId="77777777" w:rsidR="005B4780" w:rsidRPr="00CA6574" w:rsidRDefault="005B4780" w:rsidP="005B4780">
            <w:pPr>
              <w:pStyle w:val="Level2"/>
            </w:pPr>
          </w:p>
        </w:tc>
        <w:tc>
          <w:tcPr>
            <w:tcW w:w="450" w:type="dxa"/>
            <w:tcBorders>
              <w:left w:val="single" w:sz="6" w:space="0" w:color="auto"/>
            </w:tcBorders>
          </w:tcPr>
          <w:p w14:paraId="0AF647A8" w14:textId="77777777" w:rsidR="005B4780" w:rsidRPr="00CA6574" w:rsidRDefault="005B4780" w:rsidP="005B4780">
            <w:pPr>
              <w:pStyle w:val="Level2"/>
            </w:pPr>
          </w:p>
        </w:tc>
        <w:tc>
          <w:tcPr>
            <w:tcW w:w="1001" w:type="dxa"/>
            <w:tcBorders>
              <w:left w:val="single" w:sz="6" w:space="0" w:color="auto"/>
            </w:tcBorders>
          </w:tcPr>
          <w:p w14:paraId="2527AA76" w14:textId="77777777" w:rsidR="005B4780" w:rsidRPr="00CA6574" w:rsidRDefault="005B4780" w:rsidP="005B4780">
            <w:pPr>
              <w:pStyle w:val="Level2"/>
            </w:pPr>
          </w:p>
        </w:tc>
        <w:tc>
          <w:tcPr>
            <w:tcW w:w="1001" w:type="dxa"/>
            <w:tcBorders>
              <w:left w:val="single" w:sz="6" w:space="0" w:color="auto"/>
            </w:tcBorders>
          </w:tcPr>
          <w:p w14:paraId="7DC32DB5" w14:textId="77777777" w:rsidR="005B4780" w:rsidRPr="00CA6574" w:rsidRDefault="005B4780" w:rsidP="005B4780">
            <w:pPr>
              <w:pStyle w:val="Level2"/>
            </w:pPr>
          </w:p>
        </w:tc>
      </w:tr>
      <w:tr w:rsidR="005B4780" w:rsidRPr="00CA6574" w14:paraId="490AA5BF" w14:textId="77777777">
        <w:trPr>
          <w:cantSplit/>
          <w:trHeight w:val="270"/>
        </w:trPr>
        <w:tc>
          <w:tcPr>
            <w:tcW w:w="6948" w:type="dxa"/>
          </w:tcPr>
          <w:p w14:paraId="53EAC260" w14:textId="77777777" w:rsidR="005B4780" w:rsidRPr="00CA6574" w:rsidRDefault="005B4780" w:rsidP="005B4780">
            <w:pPr>
              <w:pStyle w:val="Level2"/>
            </w:pPr>
            <w:r w:rsidRPr="00CA6574">
              <w:tab/>
              <w:t>.21</w:t>
            </w:r>
            <w:r w:rsidRPr="00CA6574">
              <w:tab/>
              <w:t>Insurance carried by the target company.</w:t>
            </w:r>
          </w:p>
        </w:tc>
        <w:tc>
          <w:tcPr>
            <w:tcW w:w="450" w:type="dxa"/>
            <w:tcBorders>
              <w:left w:val="single" w:sz="6" w:space="0" w:color="auto"/>
            </w:tcBorders>
          </w:tcPr>
          <w:p w14:paraId="702FBA88" w14:textId="77777777" w:rsidR="005B4780" w:rsidRPr="00CA6574" w:rsidRDefault="005B4780" w:rsidP="005B4780">
            <w:pPr>
              <w:pStyle w:val="Level2"/>
            </w:pPr>
          </w:p>
        </w:tc>
        <w:tc>
          <w:tcPr>
            <w:tcW w:w="450" w:type="dxa"/>
            <w:tcBorders>
              <w:left w:val="single" w:sz="6" w:space="0" w:color="auto"/>
            </w:tcBorders>
          </w:tcPr>
          <w:p w14:paraId="7213F58E" w14:textId="77777777" w:rsidR="005B4780" w:rsidRPr="00CA6574" w:rsidRDefault="005B4780" w:rsidP="005B4780">
            <w:pPr>
              <w:pStyle w:val="Level2"/>
            </w:pPr>
          </w:p>
        </w:tc>
        <w:tc>
          <w:tcPr>
            <w:tcW w:w="450" w:type="dxa"/>
            <w:tcBorders>
              <w:left w:val="single" w:sz="6" w:space="0" w:color="auto"/>
            </w:tcBorders>
          </w:tcPr>
          <w:p w14:paraId="02C0360F" w14:textId="77777777" w:rsidR="005B4780" w:rsidRPr="00CA6574" w:rsidRDefault="005B4780" w:rsidP="005B4780">
            <w:pPr>
              <w:pStyle w:val="Level2"/>
            </w:pPr>
          </w:p>
        </w:tc>
        <w:tc>
          <w:tcPr>
            <w:tcW w:w="1001" w:type="dxa"/>
            <w:tcBorders>
              <w:left w:val="single" w:sz="6" w:space="0" w:color="auto"/>
            </w:tcBorders>
          </w:tcPr>
          <w:p w14:paraId="22E69F77" w14:textId="77777777" w:rsidR="005B4780" w:rsidRPr="00CA6574" w:rsidRDefault="005B4780" w:rsidP="005B4780">
            <w:pPr>
              <w:pStyle w:val="Level2"/>
            </w:pPr>
          </w:p>
        </w:tc>
        <w:tc>
          <w:tcPr>
            <w:tcW w:w="1001" w:type="dxa"/>
            <w:tcBorders>
              <w:left w:val="single" w:sz="6" w:space="0" w:color="auto"/>
            </w:tcBorders>
          </w:tcPr>
          <w:p w14:paraId="04804CB0" w14:textId="77777777" w:rsidR="005B4780" w:rsidRPr="00CA6574" w:rsidRDefault="005B4780" w:rsidP="005B4780">
            <w:pPr>
              <w:pStyle w:val="Level2"/>
            </w:pPr>
          </w:p>
        </w:tc>
      </w:tr>
      <w:tr w:rsidR="005B4780" w:rsidRPr="00CA6574" w14:paraId="719EDE1D" w14:textId="77777777" w:rsidTr="00614865">
        <w:trPr>
          <w:cantSplit/>
          <w:trHeight w:val="351"/>
        </w:trPr>
        <w:tc>
          <w:tcPr>
            <w:tcW w:w="6948" w:type="dxa"/>
          </w:tcPr>
          <w:p w14:paraId="388577DD" w14:textId="2E5CCAA1" w:rsidR="005B4780" w:rsidRPr="00CA6574" w:rsidRDefault="005B4780" w:rsidP="005B4780">
            <w:pPr>
              <w:pStyle w:val="Level2"/>
            </w:pPr>
            <w:r w:rsidRPr="00CA6574">
              <w:tab/>
              <w:t>.22</w:t>
            </w:r>
            <w:r w:rsidRPr="00CA6574">
              <w:tab/>
            </w:r>
            <w:proofErr w:type="spellStart"/>
            <w:r w:rsidRPr="00CA6574">
              <w:t>WorkSafeBC</w:t>
            </w:r>
            <w:proofErr w:type="spellEnd"/>
            <w:r w:rsidR="005E6C8C">
              <w:t>: Assessment Division and Prevention Division</w:t>
            </w:r>
            <w:r w:rsidRPr="00CA6574">
              <w:t>.</w:t>
            </w:r>
          </w:p>
        </w:tc>
        <w:tc>
          <w:tcPr>
            <w:tcW w:w="450" w:type="dxa"/>
            <w:tcBorders>
              <w:left w:val="single" w:sz="6" w:space="0" w:color="auto"/>
            </w:tcBorders>
          </w:tcPr>
          <w:p w14:paraId="73542D34" w14:textId="77777777" w:rsidR="005B4780" w:rsidRPr="00CA6574" w:rsidRDefault="005B4780" w:rsidP="005B4780">
            <w:pPr>
              <w:pStyle w:val="Level2"/>
            </w:pPr>
          </w:p>
        </w:tc>
        <w:tc>
          <w:tcPr>
            <w:tcW w:w="450" w:type="dxa"/>
            <w:tcBorders>
              <w:left w:val="single" w:sz="6" w:space="0" w:color="auto"/>
            </w:tcBorders>
          </w:tcPr>
          <w:p w14:paraId="7F570E83" w14:textId="77777777" w:rsidR="005B4780" w:rsidRPr="00CA6574" w:rsidRDefault="005B4780" w:rsidP="005B4780">
            <w:pPr>
              <w:pStyle w:val="Level2"/>
            </w:pPr>
          </w:p>
        </w:tc>
        <w:tc>
          <w:tcPr>
            <w:tcW w:w="450" w:type="dxa"/>
            <w:tcBorders>
              <w:left w:val="single" w:sz="6" w:space="0" w:color="auto"/>
            </w:tcBorders>
          </w:tcPr>
          <w:p w14:paraId="49D4A3B6" w14:textId="77777777" w:rsidR="005B4780" w:rsidRPr="00CA6574" w:rsidRDefault="005B4780" w:rsidP="005B4780">
            <w:pPr>
              <w:pStyle w:val="Level2"/>
            </w:pPr>
          </w:p>
        </w:tc>
        <w:tc>
          <w:tcPr>
            <w:tcW w:w="1001" w:type="dxa"/>
            <w:tcBorders>
              <w:left w:val="single" w:sz="6" w:space="0" w:color="auto"/>
            </w:tcBorders>
          </w:tcPr>
          <w:p w14:paraId="7D995B26" w14:textId="77777777" w:rsidR="005B4780" w:rsidRPr="00CA6574" w:rsidRDefault="005B4780" w:rsidP="005B4780">
            <w:pPr>
              <w:pStyle w:val="Level2"/>
            </w:pPr>
          </w:p>
        </w:tc>
        <w:tc>
          <w:tcPr>
            <w:tcW w:w="1001" w:type="dxa"/>
            <w:tcBorders>
              <w:left w:val="single" w:sz="6" w:space="0" w:color="auto"/>
            </w:tcBorders>
          </w:tcPr>
          <w:p w14:paraId="7F4ABF6E" w14:textId="77777777" w:rsidR="005B4780" w:rsidRPr="00CA6574" w:rsidRDefault="005B4780" w:rsidP="005B4780">
            <w:pPr>
              <w:pStyle w:val="Level2"/>
            </w:pPr>
          </w:p>
        </w:tc>
      </w:tr>
      <w:tr w:rsidR="005B4780" w:rsidRPr="00CA6574" w14:paraId="3116D75C" w14:textId="77777777">
        <w:trPr>
          <w:cantSplit/>
        </w:trPr>
        <w:tc>
          <w:tcPr>
            <w:tcW w:w="6948" w:type="dxa"/>
          </w:tcPr>
          <w:p w14:paraId="76BBE1D0" w14:textId="77777777" w:rsidR="005B4780" w:rsidRPr="00CA6574" w:rsidRDefault="005B4780" w:rsidP="005B4780">
            <w:pPr>
              <w:pStyle w:val="Level2"/>
              <w:tabs>
                <w:tab w:val="clear" w:pos="1170"/>
              </w:tabs>
            </w:pPr>
            <w:r w:rsidRPr="00CA6574">
              <w:tab/>
              <w:t>.23</w:t>
            </w:r>
            <w:r w:rsidRPr="00CA6574">
              <w:tab/>
              <w:t xml:space="preserve">Employment Standards Branch. </w:t>
            </w:r>
          </w:p>
        </w:tc>
        <w:tc>
          <w:tcPr>
            <w:tcW w:w="450" w:type="dxa"/>
            <w:tcBorders>
              <w:left w:val="single" w:sz="6" w:space="0" w:color="auto"/>
            </w:tcBorders>
          </w:tcPr>
          <w:p w14:paraId="20D2DC54" w14:textId="77777777" w:rsidR="005B4780" w:rsidRPr="00CA6574" w:rsidRDefault="005B4780" w:rsidP="005B4780">
            <w:pPr>
              <w:pStyle w:val="Level2"/>
            </w:pPr>
          </w:p>
        </w:tc>
        <w:tc>
          <w:tcPr>
            <w:tcW w:w="450" w:type="dxa"/>
            <w:tcBorders>
              <w:left w:val="single" w:sz="6" w:space="0" w:color="auto"/>
            </w:tcBorders>
          </w:tcPr>
          <w:p w14:paraId="545B4E6B" w14:textId="77777777" w:rsidR="005B4780" w:rsidRPr="00CA6574" w:rsidRDefault="005B4780" w:rsidP="005B4780">
            <w:pPr>
              <w:pStyle w:val="Level2"/>
            </w:pPr>
          </w:p>
        </w:tc>
        <w:tc>
          <w:tcPr>
            <w:tcW w:w="450" w:type="dxa"/>
            <w:tcBorders>
              <w:left w:val="single" w:sz="6" w:space="0" w:color="auto"/>
            </w:tcBorders>
          </w:tcPr>
          <w:p w14:paraId="4DDC38C9" w14:textId="77777777" w:rsidR="005B4780" w:rsidRPr="00CA6574" w:rsidRDefault="005B4780" w:rsidP="005B4780">
            <w:pPr>
              <w:pStyle w:val="Level2"/>
            </w:pPr>
          </w:p>
        </w:tc>
        <w:tc>
          <w:tcPr>
            <w:tcW w:w="1001" w:type="dxa"/>
            <w:tcBorders>
              <w:left w:val="single" w:sz="6" w:space="0" w:color="auto"/>
            </w:tcBorders>
          </w:tcPr>
          <w:p w14:paraId="147B4FAA" w14:textId="77777777" w:rsidR="005B4780" w:rsidRPr="00CA6574" w:rsidRDefault="005B4780" w:rsidP="005B4780">
            <w:pPr>
              <w:pStyle w:val="Level2"/>
            </w:pPr>
          </w:p>
        </w:tc>
        <w:tc>
          <w:tcPr>
            <w:tcW w:w="1001" w:type="dxa"/>
            <w:tcBorders>
              <w:left w:val="single" w:sz="6" w:space="0" w:color="auto"/>
            </w:tcBorders>
          </w:tcPr>
          <w:p w14:paraId="59ABDBA9" w14:textId="77777777" w:rsidR="005B4780" w:rsidRPr="00CA6574" w:rsidRDefault="005B4780" w:rsidP="005B4780">
            <w:pPr>
              <w:pStyle w:val="Level2"/>
            </w:pPr>
          </w:p>
        </w:tc>
      </w:tr>
      <w:tr w:rsidR="005E6C8C" w:rsidRPr="00CA6574" w14:paraId="7D7937FD" w14:textId="77777777">
        <w:trPr>
          <w:cantSplit/>
        </w:trPr>
        <w:tc>
          <w:tcPr>
            <w:tcW w:w="6948" w:type="dxa"/>
          </w:tcPr>
          <w:p w14:paraId="4EDDB7FF" w14:textId="00D73830" w:rsidR="005E6C8C" w:rsidRPr="00CA6574" w:rsidRDefault="005E6C8C" w:rsidP="005E6C8C">
            <w:pPr>
              <w:pStyle w:val="Level2"/>
              <w:tabs>
                <w:tab w:val="clear" w:pos="1170"/>
              </w:tabs>
            </w:pPr>
            <w:r>
              <w:tab/>
              <w:t>.24</w:t>
            </w:r>
            <w:r w:rsidRPr="00CA6574">
              <w:tab/>
            </w:r>
            <w:r>
              <w:t>Human Rights Tribunal</w:t>
            </w:r>
            <w:r w:rsidRPr="00CA6574">
              <w:t xml:space="preserve">. </w:t>
            </w:r>
          </w:p>
        </w:tc>
        <w:tc>
          <w:tcPr>
            <w:tcW w:w="450" w:type="dxa"/>
            <w:tcBorders>
              <w:left w:val="single" w:sz="6" w:space="0" w:color="auto"/>
            </w:tcBorders>
          </w:tcPr>
          <w:p w14:paraId="2AE89C43" w14:textId="77777777" w:rsidR="005E6C8C" w:rsidRPr="00CA6574" w:rsidRDefault="005E6C8C" w:rsidP="005E6C8C">
            <w:pPr>
              <w:pStyle w:val="Level2"/>
            </w:pPr>
          </w:p>
        </w:tc>
        <w:tc>
          <w:tcPr>
            <w:tcW w:w="450" w:type="dxa"/>
            <w:tcBorders>
              <w:left w:val="single" w:sz="6" w:space="0" w:color="auto"/>
            </w:tcBorders>
          </w:tcPr>
          <w:p w14:paraId="38BF7C06" w14:textId="77777777" w:rsidR="005E6C8C" w:rsidRPr="00CA6574" w:rsidRDefault="005E6C8C" w:rsidP="005E6C8C">
            <w:pPr>
              <w:pStyle w:val="Level2"/>
            </w:pPr>
          </w:p>
        </w:tc>
        <w:tc>
          <w:tcPr>
            <w:tcW w:w="450" w:type="dxa"/>
            <w:tcBorders>
              <w:left w:val="single" w:sz="6" w:space="0" w:color="auto"/>
            </w:tcBorders>
          </w:tcPr>
          <w:p w14:paraId="2505C92C" w14:textId="77777777" w:rsidR="005E6C8C" w:rsidRPr="00CA6574" w:rsidRDefault="005E6C8C" w:rsidP="005E6C8C">
            <w:pPr>
              <w:pStyle w:val="Level2"/>
            </w:pPr>
          </w:p>
        </w:tc>
        <w:tc>
          <w:tcPr>
            <w:tcW w:w="1001" w:type="dxa"/>
            <w:tcBorders>
              <w:left w:val="single" w:sz="6" w:space="0" w:color="auto"/>
            </w:tcBorders>
          </w:tcPr>
          <w:p w14:paraId="6A037266" w14:textId="77777777" w:rsidR="005E6C8C" w:rsidRPr="00CA6574" w:rsidRDefault="005E6C8C" w:rsidP="005E6C8C">
            <w:pPr>
              <w:pStyle w:val="Level2"/>
            </w:pPr>
          </w:p>
        </w:tc>
        <w:tc>
          <w:tcPr>
            <w:tcW w:w="1001" w:type="dxa"/>
            <w:tcBorders>
              <w:left w:val="single" w:sz="6" w:space="0" w:color="auto"/>
            </w:tcBorders>
          </w:tcPr>
          <w:p w14:paraId="2148B5F5" w14:textId="77777777" w:rsidR="005E6C8C" w:rsidRPr="00CA6574" w:rsidRDefault="005E6C8C" w:rsidP="005E6C8C">
            <w:pPr>
              <w:pStyle w:val="Level2"/>
            </w:pPr>
          </w:p>
        </w:tc>
      </w:tr>
      <w:tr w:rsidR="005E6C8C" w:rsidRPr="00CA6574" w14:paraId="430EA87E" w14:textId="77777777" w:rsidTr="00495C9A">
        <w:trPr>
          <w:cantSplit/>
          <w:trHeight w:val="855"/>
        </w:trPr>
        <w:tc>
          <w:tcPr>
            <w:tcW w:w="6948" w:type="dxa"/>
          </w:tcPr>
          <w:p w14:paraId="5450ACA7" w14:textId="5F409927" w:rsidR="005E6C8C" w:rsidRPr="00CA6574" w:rsidRDefault="005E6C8C" w:rsidP="005E6C8C">
            <w:pPr>
              <w:pStyle w:val="Level2"/>
            </w:pPr>
            <w:r w:rsidRPr="00CA6574">
              <w:tab/>
              <w:t>.2</w:t>
            </w:r>
            <w:r>
              <w:t>5</w:t>
            </w:r>
            <w:r w:rsidRPr="00CA6574">
              <w:tab/>
              <w:t>Environment</w:t>
            </w:r>
            <w:r>
              <w:t>al</w:t>
            </w:r>
            <w:r w:rsidRPr="00CA6574">
              <w:t xml:space="preserve"> </w:t>
            </w:r>
            <w:r>
              <w:t>matters. Search</w:t>
            </w:r>
            <w:r w:rsidRPr="00CA6574">
              <w:t xml:space="preserve"> </w:t>
            </w:r>
            <w:r w:rsidRPr="0021164B">
              <w:t>environment ministries (federal and provincial), Fisheries and Oceans Canada, Contaminated Site Registry. Consider having an environmental audit conducted.</w:t>
            </w:r>
            <w:r w:rsidRPr="00CA6574" w:rsidDel="006132FD">
              <w:t xml:space="preserve"> </w:t>
            </w:r>
          </w:p>
        </w:tc>
        <w:tc>
          <w:tcPr>
            <w:tcW w:w="450" w:type="dxa"/>
            <w:tcBorders>
              <w:left w:val="single" w:sz="6" w:space="0" w:color="auto"/>
            </w:tcBorders>
          </w:tcPr>
          <w:p w14:paraId="35FC6067" w14:textId="77777777" w:rsidR="005E6C8C" w:rsidRPr="00CA6574" w:rsidRDefault="005E6C8C" w:rsidP="005E6C8C">
            <w:pPr>
              <w:pStyle w:val="Level2"/>
            </w:pPr>
          </w:p>
        </w:tc>
        <w:tc>
          <w:tcPr>
            <w:tcW w:w="450" w:type="dxa"/>
            <w:tcBorders>
              <w:left w:val="single" w:sz="6" w:space="0" w:color="auto"/>
            </w:tcBorders>
          </w:tcPr>
          <w:p w14:paraId="2E0B322D" w14:textId="77777777" w:rsidR="005E6C8C" w:rsidRPr="00CA6574" w:rsidRDefault="005E6C8C" w:rsidP="005E6C8C">
            <w:pPr>
              <w:pStyle w:val="Level2"/>
            </w:pPr>
          </w:p>
        </w:tc>
        <w:tc>
          <w:tcPr>
            <w:tcW w:w="450" w:type="dxa"/>
            <w:tcBorders>
              <w:left w:val="single" w:sz="6" w:space="0" w:color="auto"/>
            </w:tcBorders>
          </w:tcPr>
          <w:p w14:paraId="7E90AB41" w14:textId="77777777" w:rsidR="005E6C8C" w:rsidRPr="00CA6574" w:rsidRDefault="005E6C8C" w:rsidP="005E6C8C">
            <w:pPr>
              <w:pStyle w:val="Level2"/>
            </w:pPr>
          </w:p>
        </w:tc>
        <w:tc>
          <w:tcPr>
            <w:tcW w:w="1001" w:type="dxa"/>
            <w:tcBorders>
              <w:left w:val="single" w:sz="6" w:space="0" w:color="auto"/>
            </w:tcBorders>
          </w:tcPr>
          <w:p w14:paraId="0F06E4B0" w14:textId="77777777" w:rsidR="005E6C8C" w:rsidRPr="00CA6574" w:rsidRDefault="005E6C8C" w:rsidP="005E6C8C">
            <w:pPr>
              <w:pStyle w:val="Level2"/>
            </w:pPr>
          </w:p>
        </w:tc>
        <w:tc>
          <w:tcPr>
            <w:tcW w:w="1001" w:type="dxa"/>
            <w:tcBorders>
              <w:left w:val="single" w:sz="6" w:space="0" w:color="auto"/>
            </w:tcBorders>
          </w:tcPr>
          <w:p w14:paraId="167FE205" w14:textId="77777777" w:rsidR="005E6C8C" w:rsidRPr="00CA6574" w:rsidRDefault="005E6C8C" w:rsidP="005E6C8C">
            <w:pPr>
              <w:pStyle w:val="Level2"/>
            </w:pPr>
          </w:p>
        </w:tc>
      </w:tr>
      <w:tr w:rsidR="005E6C8C" w:rsidRPr="00CA6574" w14:paraId="72C26CD8" w14:textId="77777777" w:rsidTr="007B77B0">
        <w:trPr>
          <w:cantSplit/>
          <w:trHeight w:val="432"/>
        </w:trPr>
        <w:tc>
          <w:tcPr>
            <w:tcW w:w="6948" w:type="dxa"/>
          </w:tcPr>
          <w:p w14:paraId="2462B8FA" w14:textId="4C405013" w:rsidR="005E6C8C" w:rsidRPr="00CA6574" w:rsidRDefault="005E6C8C" w:rsidP="005E6C8C">
            <w:pPr>
              <w:pStyle w:val="Level2"/>
            </w:pPr>
            <w:r w:rsidRPr="00CA6574">
              <w:tab/>
              <w:t>.2</w:t>
            </w:r>
            <w:r>
              <w:t>6</w:t>
            </w:r>
            <w:r w:rsidRPr="00CA6574">
              <w:tab/>
              <w:t>Securities searches for public company vendor, target company, or both, including through SEDAR.</w:t>
            </w:r>
          </w:p>
        </w:tc>
        <w:tc>
          <w:tcPr>
            <w:tcW w:w="450" w:type="dxa"/>
            <w:tcBorders>
              <w:left w:val="single" w:sz="6" w:space="0" w:color="auto"/>
            </w:tcBorders>
          </w:tcPr>
          <w:p w14:paraId="7A5F0211" w14:textId="77777777" w:rsidR="005E6C8C" w:rsidRPr="00CA6574" w:rsidRDefault="005E6C8C" w:rsidP="005E6C8C">
            <w:pPr>
              <w:pStyle w:val="Level2"/>
            </w:pPr>
          </w:p>
        </w:tc>
        <w:tc>
          <w:tcPr>
            <w:tcW w:w="450" w:type="dxa"/>
            <w:tcBorders>
              <w:left w:val="single" w:sz="6" w:space="0" w:color="auto"/>
            </w:tcBorders>
          </w:tcPr>
          <w:p w14:paraId="29DF4FAC" w14:textId="77777777" w:rsidR="005E6C8C" w:rsidRPr="00CA6574" w:rsidRDefault="005E6C8C" w:rsidP="005E6C8C">
            <w:pPr>
              <w:pStyle w:val="Level2"/>
            </w:pPr>
          </w:p>
        </w:tc>
        <w:tc>
          <w:tcPr>
            <w:tcW w:w="450" w:type="dxa"/>
            <w:tcBorders>
              <w:left w:val="single" w:sz="6" w:space="0" w:color="auto"/>
            </w:tcBorders>
          </w:tcPr>
          <w:p w14:paraId="770038F2" w14:textId="77777777" w:rsidR="005E6C8C" w:rsidRPr="00CA6574" w:rsidRDefault="005E6C8C" w:rsidP="005E6C8C">
            <w:pPr>
              <w:pStyle w:val="Level2"/>
            </w:pPr>
          </w:p>
        </w:tc>
        <w:tc>
          <w:tcPr>
            <w:tcW w:w="1001" w:type="dxa"/>
            <w:tcBorders>
              <w:left w:val="single" w:sz="6" w:space="0" w:color="auto"/>
            </w:tcBorders>
          </w:tcPr>
          <w:p w14:paraId="5E959658" w14:textId="77777777" w:rsidR="005E6C8C" w:rsidRPr="00CA6574" w:rsidRDefault="005E6C8C" w:rsidP="005E6C8C">
            <w:pPr>
              <w:pStyle w:val="Level2"/>
            </w:pPr>
          </w:p>
        </w:tc>
        <w:tc>
          <w:tcPr>
            <w:tcW w:w="1001" w:type="dxa"/>
            <w:tcBorders>
              <w:left w:val="single" w:sz="6" w:space="0" w:color="auto"/>
            </w:tcBorders>
          </w:tcPr>
          <w:p w14:paraId="2BB5A688" w14:textId="77777777" w:rsidR="005E6C8C" w:rsidRPr="00CA6574" w:rsidRDefault="005E6C8C" w:rsidP="005E6C8C">
            <w:pPr>
              <w:pStyle w:val="Level2"/>
            </w:pPr>
          </w:p>
        </w:tc>
      </w:tr>
      <w:tr w:rsidR="005E6C8C" w:rsidRPr="00CA6574" w14:paraId="2AF121A0" w14:textId="77777777" w:rsidTr="00E07141">
        <w:trPr>
          <w:cantSplit/>
          <w:trHeight w:val="405"/>
        </w:trPr>
        <w:tc>
          <w:tcPr>
            <w:tcW w:w="6948" w:type="dxa"/>
          </w:tcPr>
          <w:p w14:paraId="27D69893" w14:textId="5A4CB9C0" w:rsidR="005E6C8C" w:rsidRPr="00CA6574" w:rsidRDefault="005E6C8C" w:rsidP="005E6C8C">
            <w:pPr>
              <w:pStyle w:val="Level2"/>
            </w:pPr>
            <w:r w:rsidRPr="00CA6574">
              <w:tab/>
              <w:t>.2</w:t>
            </w:r>
            <w:r>
              <w:t>7</w:t>
            </w:r>
            <w:r w:rsidRPr="00CA6574">
              <w:tab/>
            </w:r>
            <w:r>
              <w:t>Canadian Intellectual Property Office. Search for patents, trademarks, copyrights, etc</w:t>
            </w:r>
            <w:r w:rsidRPr="00CA6574">
              <w:t>.</w:t>
            </w:r>
          </w:p>
        </w:tc>
        <w:tc>
          <w:tcPr>
            <w:tcW w:w="450" w:type="dxa"/>
            <w:tcBorders>
              <w:left w:val="single" w:sz="6" w:space="0" w:color="auto"/>
            </w:tcBorders>
          </w:tcPr>
          <w:p w14:paraId="6EA80DDA" w14:textId="77777777" w:rsidR="005E6C8C" w:rsidRPr="00CA6574" w:rsidRDefault="005E6C8C" w:rsidP="005E6C8C">
            <w:pPr>
              <w:pStyle w:val="Level2"/>
            </w:pPr>
          </w:p>
        </w:tc>
        <w:tc>
          <w:tcPr>
            <w:tcW w:w="450" w:type="dxa"/>
            <w:tcBorders>
              <w:left w:val="single" w:sz="6" w:space="0" w:color="auto"/>
            </w:tcBorders>
          </w:tcPr>
          <w:p w14:paraId="402844DA" w14:textId="77777777" w:rsidR="005E6C8C" w:rsidRPr="00CA6574" w:rsidRDefault="005E6C8C" w:rsidP="005E6C8C">
            <w:pPr>
              <w:pStyle w:val="Level2"/>
            </w:pPr>
          </w:p>
        </w:tc>
        <w:tc>
          <w:tcPr>
            <w:tcW w:w="450" w:type="dxa"/>
            <w:tcBorders>
              <w:left w:val="single" w:sz="6" w:space="0" w:color="auto"/>
            </w:tcBorders>
          </w:tcPr>
          <w:p w14:paraId="63E6452C" w14:textId="77777777" w:rsidR="005E6C8C" w:rsidRPr="00CA6574" w:rsidRDefault="005E6C8C" w:rsidP="005E6C8C">
            <w:pPr>
              <w:pStyle w:val="Level2"/>
            </w:pPr>
          </w:p>
        </w:tc>
        <w:tc>
          <w:tcPr>
            <w:tcW w:w="1001" w:type="dxa"/>
            <w:tcBorders>
              <w:left w:val="single" w:sz="6" w:space="0" w:color="auto"/>
            </w:tcBorders>
          </w:tcPr>
          <w:p w14:paraId="13F88AFE" w14:textId="77777777" w:rsidR="005E6C8C" w:rsidRPr="00CA6574" w:rsidRDefault="005E6C8C" w:rsidP="005E6C8C">
            <w:pPr>
              <w:pStyle w:val="Level2"/>
            </w:pPr>
          </w:p>
        </w:tc>
        <w:tc>
          <w:tcPr>
            <w:tcW w:w="1001" w:type="dxa"/>
            <w:tcBorders>
              <w:left w:val="single" w:sz="6" w:space="0" w:color="auto"/>
            </w:tcBorders>
          </w:tcPr>
          <w:p w14:paraId="40F8FC3A" w14:textId="77777777" w:rsidR="005E6C8C" w:rsidRPr="00CA6574" w:rsidRDefault="005E6C8C" w:rsidP="005E6C8C">
            <w:pPr>
              <w:pStyle w:val="Level2"/>
            </w:pPr>
          </w:p>
        </w:tc>
      </w:tr>
      <w:tr w:rsidR="005E6C8C" w:rsidRPr="00CA6574" w14:paraId="790A8D85" w14:textId="77777777" w:rsidTr="00E07141">
        <w:trPr>
          <w:cantSplit/>
          <w:trHeight w:val="405"/>
        </w:trPr>
        <w:tc>
          <w:tcPr>
            <w:tcW w:w="6948" w:type="dxa"/>
          </w:tcPr>
          <w:p w14:paraId="7FA3C7D2" w14:textId="4C7ED437" w:rsidR="005E6C8C" w:rsidRPr="00CA6574" w:rsidRDefault="005E6C8C" w:rsidP="005E6C8C">
            <w:pPr>
              <w:pStyle w:val="Level2"/>
            </w:pPr>
            <w:r>
              <w:tab/>
              <w:t>.28</w:t>
            </w:r>
            <w:r>
              <w:tab/>
            </w:r>
            <w:r w:rsidRPr="0021164B">
              <w:t>Consider searching the Canadian Internet Registration Authority (</w:t>
            </w:r>
            <w:hyperlink r:id="rId20" w:history="1">
              <w:r w:rsidRPr="00061A60">
                <w:rPr>
                  <w:rStyle w:val="Hyperlink"/>
                </w:rPr>
                <w:t>www.cira.ca</w:t>
              </w:r>
            </w:hyperlink>
            <w:r w:rsidRPr="0021164B">
              <w:t>)</w:t>
            </w:r>
            <w:r>
              <w:t>; perform domain name due diligence</w:t>
            </w:r>
            <w:r w:rsidRPr="0021164B">
              <w:t>.</w:t>
            </w:r>
          </w:p>
        </w:tc>
        <w:tc>
          <w:tcPr>
            <w:tcW w:w="450" w:type="dxa"/>
            <w:tcBorders>
              <w:left w:val="single" w:sz="6" w:space="0" w:color="auto"/>
            </w:tcBorders>
          </w:tcPr>
          <w:p w14:paraId="4935B52E" w14:textId="77777777" w:rsidR="005E6C8C" w:rsidRPr="00CA6574" w:rsidRDefault="005E6C8C" w:rsidP="005E6C8C">
            <w:pPr>
              <w:pStyle w:val="Level2"/>
            </w:pPr>
          </w:p>
        </w:tc>
        <w:tc>
          <w:tcPr>
            <w:tcW w:w="450" w:type="dxa"/>
            <w:tcBorders>
              <w:left w:val="single" w:sz="6" w:space="0" w:color="auto"/>
            </w:tcBorders>
          </w:tcPr>
          <w:p w14:paraId="2C748326" w14:textId="77777777" w:rsidR="005E6C8C" w:rsidRPr="00CA6574" w:rsidRDefault="005E6C8C" w:rsidP="005E6C8C">
            <w:pPr>
              <w:pStyle w:val="Level2"/>
            </w:pPr>
          </w:p>
        </w:tc>
        <w:tc>
          <w:tcPr>
            <w:tcW w:w="450" w:type="dxa"/>
            <w:tcBorders>
              <w:left w:val="single" w:sz="6" w:space="0" w:color="auto"/>
            </w:tcBorders>
          </w:tcPr>
          <w:p w14:paraId="0CD80FB1" w14:textId="77777777" w:rsidR="005E6C8C" w:rsidRPr="00CA6574" w:rsidRDefault="005E6C8C" w:rsidP="005E6C8C">
            <w:pPr>
              <w:pStyle w:val="Level2"/>
            </w:pPr>
          </w:p>
        </w:tc>
        <w:tc>
          <w:tcPr>
            <w:tcW w:w="1001" w:type="dxa"/>
            <w:tcBorders>
              <w:left w:val="single" w:sz="6" w:space="0" w:color="auto"/>
            </w:tcBorders>
          </w:tcPr>
          <w:p w14:paraId="57DEA655" w14:textId="77777777" w:rsidR="005E6C8C" w:rsidRPr="00CA6574" w:rsidRDefault="005E6C8C" w:rsidP="005E6C8C">
            <w:pPr>
              <w:pStyle w:val="Level2"/>
            </w:pPr>
          </w:p>
        </w:tc>
        <w:tc>
          <w:tcPr>
            <w:tcW w:w="1001" w:type="dxa"/>
            <w:tcBorders>
              <w:left w:val="single" w:sz="6" w:space="0" w:color="auto"/>
            </w:tcBorders>
          </w:tcPr>
          <w:p w14:paraId="139FEB17" w14:textId="77777777" w:rsidR="005E6C8C" w:rsidRPr="00CA6574" w:rsidRDefault="005E6C8C" w:rsidP="005E6C8C">
            <w:pPr>
              <w:pStyle w:val="Level2"/>
            </w:pPr>
          </w:p>
        </w:tc>
      </w:tr>
      <w:tr w:rsidR="005E6C8C" w:rsidRPr="00CA6574" w14:paraId="116528F6" w14:textId="77777777" w:rsidTr="00E07141">
        <w:trPr>
          <w:cantSplit/>
          <w:trHeight w:val="405"/>
        </w:trPr>
        <w:tc>
          <w:tcPr>
            <w:tcW w:w="6948" w:type="dxa"/>
          </w:tcPr>
          <w:p w14:paraId="24E4220D" w14:textId="38A0172D" w:rsidR="005E6C8C" w:rsidRDefault="005E6C8C" w:rsidP="005E6C8C">
            <w:pPr>
              <w:pStyle w:val="Level2"/>
            </w:pPr>
            <w:r>
              <w:tab/>
              <w:t>.29</w:t>
            </w:r>
            <w:r>
              <w:tab/>
            </w:r>
            <w:r w:rsidRPr="0021164B">
              <w:t xml:space="preserve">Review </w:t>
            </w:r>
            <w:r w:rsidRPr="00BB145D">
              <w:rPr>
                <w:i/>
              </w:rPr>
              <w:t xml:space="preserve">Due Diligence </w:t>
            </w:r>
            <w:proofErr w:type="spellStart"/>
            <w:r w:rsidRPr="00BB145D">
              <w:rPr>
                <w:i/>
              </w:rPr>
              <w:t>Deskbook</w:t>
            </w:r>
            <w:proofErr w:type="spellEnd"/>
            <w:r w:rsidRPr="0021164B">
              <w:t xml:space="preserve"> </w:t>
            </w:r>
            <w:r w:rsidRPr="0021164B">
              <w:rPr>
                <w:rStyle w:val="Italics"/>
                <w:rFonts w:ascii="Times New Roman" w:hAnsi="Times New Roman"/>
                <w:i w:val="0"/>
                <w:iCs/>
              </w:rPr>
              <w:t>(CLEBC, 1994</w:t>
            </w:r>
            <w:r>
              <w:rPr>
                <w:rStyle w:val="Italics"/>
                <w:rFonts w:ascii="Times New Roman" w:hAnsi="Times New Roman"/>
                <w:i w:val="0"/>
                <w:iCs/>
              </w:rPr>
              <w:t>–</w:t>
            </w:r>
            <w:r w:rsidRPr="0021164B">
              <w:rPr>
                <w:rStyle w:val="Italics"/>
                <w:rFonts w:ascii="Times New Roman" w:hAnsi="Times New Roman"/>
                <w:i w:val="0"/>
                <w:iCs/>
              </w:rPr>
              <w:t>)</w:t>
            </w:r>
            <w:r>
              <w:rPr>
                <w:rStyle w:val="Italics"/>
                <w:rFonts w:ascii="Times New Roman" w:hAnsi="Times New Roman"/>
                <w:i w:val="0"/>
                <w:iCs/>
              </w:rPr>
              <w:t xml:space="preserve"> </w:t>
            </w:r>
            <w:r w:rsidRPr="0021164B">
              <w:t>for other relevant searches and the appropr</w:t>
            </w:r>
            <w:r w:rsidRPr="004751C9">
              <w:t>i</w:t>
            </w:r>
            <w:r w:rsidRPr="0021164B">
              <w:t>ate scope of the searches.</w:t>
            </w:r>
          </w:p>
        </w:tc>
        <w:tc>
          <w:tcPr>
            <w:tcW w:w="450" w:type="dxa"/>
            <w:tcBorders>
              <w:left w:val="single" w:sz="6" w:space="0" w:color="auto"/>
            </w:tcBorders>
          </w:tcPr>
          <w:p w14:paraId="5EFB146D" w14:textId="77777777" w:rsidR="005E6C8C" w:rsidRPr="00CA6574" w:rsidRDefault="005E6C8C" w:rsidP="005E6C8C">
            <w:pPr>
              <w:pStyle w:val="Level2"/>
            </w:pPr>
          </w:p>
        </w:tc>
        <w:tc>
          <w:tcPr>
            <w:tcW w:w="450" w:type="dxa"/>
            <w:tcBorders>
              <w:left w:val="single" w:sz="6" w:space="0" w:color="auto"/>
            </w:tcBorders>
          </w:tcPr>
          <w:p w14:paraId="614B9348" w14:textId="77777777" w:rsidR="005E6C8C" w:rsidRPr="00CA6574" w:rsidRDefault="005E6C8C" w:rsidP="005E6C8C">
            <w:pPr>
              <w:pStyle w:val="Level2"/>
            </w:pPr>
          </w:p>
        </w:tc>
        <w:tc>
          <w:tcPr>
            <w:tcW w:w="450" w:type="dxa"/>
            <w:tcBorders>
              <w:left w:val="single" w:sz="6" w:space="0" w:color="auto"/>
            </w:tcBorders>
          </w:tcPr>
          <w:p w14:paraId="2B5E0A66" w14:textId="77777777" w:rsidR="005E6C8C" w:rsidRPr="00CA6574" w:rsidRDefault="005E6C8C" w:rsidP="005E6C8C">
            <w:pPr>
              <w:pStyle w:val="Level2"/>
            </w:pPr>
          </w:p>
        </w:tc>
        <w:tc>
          <w:tcPr>
            <w:tcW w:w="1001" w:type="dxa"/>
            <w:tcBorders>
              <w:left w:val="single" w:sz="6" w:space="0" w:color="auto"/>
            </w:tcBorders>
          </w:tcPr>
          <w:p w14:paraId="51C1AB58" w14:textId="77777777" w:rsidR="005E6C8C" w:rsidRPr="00CA6574" w:rsidRDefault="005E6C8C" w:rsidP="005E6C8C">
            <w:pPr>
              <w:pStyle w:val="Level2"/>
            </w:pPr>
          </w:p>
        </w:tc>
        <w:tc>
          <w:tcPr>
            <w:tcW w:w="1001" w:type="dxa"/>
            <w:tcBorders>
              <w:left w:val="single" w:sz="6" w:space="0" w:color="auto"/>
            </w:tcBorders>
          </w:tcPr>
          <w:p w14:paraId="0DD722F7" w14:textId="77777777" w:rsidR="005E6C8C" w:rsidRPr="00CA6574" w:rsidRDefault="005E6C8C" w:rsidP="005E6C8C">
            <w:pPr>
              <w:pStyle w:val="Level2"/>
            </w:pPr>
          </w:p>
        </w:tc>
      </w:tr>
      <w:tr w:rsidR="005E6C8C" w:rsidRPr="00CA6574" w14:paraId="0175F254" w14:textId="77777777" w:rsidTr="00E07141">
        <w:trPr>
          <w:cantSplit/>
          <w:trHeight w:val="450"/>
        </w:trPr>
        <w:tc>
          <w:tcPr>
            <w:tcW w:w="6948" w:type="dxa"/>
          </w:tcPr>
          <w:p w14:paraId="70E126ED" w14:textId="77777777" w:rsidR="005E6C8C" w:rsidRPr="00CA6574" w:rsidRDefault="005E6C8C" w:rsidP="005E6C8C">
            <w:pPr>
              <w:pStyle w:val="Level111G1"/>
            </w:pPr>
            <w:r w:rsidRPr="00CA6574">
              <w:tab/>
              <w:t>3.6</w:t>
            </w:r>
            <w:r w:rsidRPr="00CA6574">
              <w:tab/>
              <w:t xml:space="preserve">Review all </w:t>
            </w:r>
            <w:r>
              <w:t xml:space="preserve">material contracts, including </w:t>
            </w:r>
            <w:r w:rsidRPr="00CA6574">
              <w:t>leases</w:t>
            </w:r>
            <w:r>
              <w:t xml:space="preserve"> and </w:t>
            </w:r>
            <w:proofErr w:type="spellStart"/>
            <w:r>
              <w:t>licences</w:t>
            </w:r>
            <w:proofErr w:type="spellEnd"/>
            <w:r>
              <w:t xml:space="preserve">, and </w:t>
            </w:r>
            <w:r w:rsidRPr="00CA6574">
              <w:t xml:space="preserve">permits </w:t>
            </w:r>
            <w:r>
              <w:t xml:space="preserve">to be assigned, </w:t>
            </w:r>
            <w:r w:rsidRPr="00CA6574">
              <w:t xml:space="preserve">to determine </w:t>
            </w:r>
            <w:r>
              <w:t xml:space="preserve">whether </w:t>
            </w:r>
            <w:r w:rsidRPr="00CA6574">
              <w:t>any consents to the purchase are required.</w:t>
            </w:r>
          </w:p>
        </w:tc>
        <w:tc>
          <w:tcPr>
            <w:tcW w:w="450" w:type="dxa"/>
            <w:tcBorders>
              <w:left w:val="single" w:sz="6" w:space="0" w:color="auto"/>
            </w:tcBorders>
          </w:tcPr>
          <w:p w14:paraId="089F4FD5" w14:textId="77777777" w:rsidR="005E6C8C" w:rsidRPr="00CA6574" w:rsidRDefault="005E6C8C" w:rsidP="005E6C8C">
            <w:pPr>
              <w:pStyle w:val="Level111G1"/>
            </w:pPr>
          </w:p>
        </w:tc>
        <w:tc>
          <w:tcPr>
            <w:tcW w:w="450" w:type="dxa"/>
            <w:tcBorders>
              <w:left w:val="single" w:sz="6" w:space="0" w:color="auto"/>
            </w:tcBorders>
          </w:tcPr>
          <w:p w14:paraId="62C649E9" w14:textId="77777777" w:rsidR="005E6C8C" w:rsidRPr="00CA6574" w:rsidRDefault="005E6C8C" w:rsidP="005E6C8C">
            <w:pPr>
              <w:pStyle w:val="Level111G1"/>
            </w:pPr>
          </w:p>
        </w:tc>
        <w:tc>
          <w:tcPr>
            <w:tcW w:w="450" w:type="dxa"/>
            <w:tcBorders>
              <w:left w:val="single" w:sz="6" w:space="0" w:color="auto"/>
            </w:tcBorders>
          </w:tcPr>
          <w:p w14:paraId="6C0E5DF0" w14:textId="77777777" w:rsidR="005E6C8C" w:rsidRPr="00CA6574" w:rsidRDefault="005E6C8C" w:rsidP="005E6C8C">
            <w:pPr>
              <w:pStyle w:val="Level111G1"/>
            </w:pPr>
          </w:p>
        </w:tc>
        <w:tc>
          <w:tcPr>
            <w:tcW w:w="1001" w:type="dxa"/>
            <w:tcBorders>
              <w:left w:val="single" w:sz="6" w:space="0" w:color="auto"/>
            </w:tcBorders>
          </w:tcPr>
          <w:p w14:paraId="7E36A869" w14:textId="77777777" w:rsidR="005E6C8C" w:rsidRPr="00CA6574" w:rsidRDefault="005E6C8C" w:rsidP="005E6C8C">
            <w:pPr>
              <w:pStyle w:val="Level111G1"/>
            </w:pPr>
          </w:p>
        </w:tc>
        <w:tc>
          <w:tcPr>
            <w:tcW w:w="1001" w:type="dxa"/>
            <w:tcBorders>
              <w:left w:val="single" w:sz="6" w:space="0" w:color="auto"/>
            </w:tcBorders>
          </w:tcPr>
          <w:p w14:paraId="11E7B776" w14:textId="77777777" w:rsidR="005E6C8C" w:rsidRPr="00CA6574" w:rsidRDefault="005E6C8C" w:rsidP="005E6C8C">
            <w:pPr>
              <w:pStyle w:val="Level111G1"/>
            </w:pPr>
          </w:p>
        </w:tc>
      </w:tr>
      <w:tr w:rsidR="005E6C8C" w:rsidRPr="00CA6574" w14:paraId="7025EB55" w14:textId="77777777" w:rsidTr="00313BC8">
        <w:trPr>
          <w:cantSplit/>
          <w:trHeight w:val="1692"/>
        </w:trPr>
        <w:tc>
          <w:tcPr>
            <w:tcW w:w="6948" w:type="dxa"/>
          </w:tcPr>
          <w:p w14:paraId="24DE266E" w14:textId="70A5E0FA" w:rsidR="005E6C8C" w:rsidRPr="00CA6574" w:rsidRDefault="005E6C8C" w:rsidP="005E6C8C">
            <w:pPr>
              <w:pStyle w:val="Level111G1"/>
            </w:pPr>
            <w:r w:rsidRPr="00CA6574">
              <w:tab/>
              <w:t>3.7</w:t>
            </w:r>
            <w:r w:rsidRPr="00CA6574">
              <w:tab/>
              <w:t xml:space="preserve">Consider environmental risks associated with property of the company. Assess </w:t>
            </w:r>
            <w:r>
              <w:t xml:space="preserve">the </w:t>
            </w:r>
            <w:r w:rsidRPr="00CA6574">
              <w:t>need for a Ministry of Environment</w:t>
            </w:r>
            <w:r>
              <w:t xml:space="preserve"> and Climate Change Strategy</w:t>
            </w:r>
            <w:r w:rsidRPr="00CA6574">
              <w:t>, Environment Canada, or Fisheries and Oceans Canada search (see item 3.5.2</w:t>
            </w:r>
            <w:r w:rsidR="001C0D82">
              <w:t>5</w:t>
            </w:r>
            <w:r>
              <w:t xml:space="preserve"> in this checklist</w:t>
            </w:r>
            <w:r w:rsidRPr="00CA6574">
              <w:t>), a search of other applicable environmental authorities (e.g., municipal</w:t>
            </w:r>
            <w:r>
              <w:t>, provincial,</w:t>
            </w:r>
            <w:r w:rsidRPr="00CA6574">
              <w:t xml:space="preserve"> and federal), or an environmental compliance review. Consider having an environmental audit conducted on property owned by the company. Consider the impact of contaminated sites legislation.</w:t>
            </w:r>
          </w:p>
        </w:tc>
        <w:tc>
          <w:tcPr>
            <w:tcW w:w="450" w:type="dxa"/>
            <w:tcBorders>
              <w:left w:val="single" w:sz="6" w:space="0" w:color="auto"/>
            </w:tcBorders>
          </w:tcPr>
          <w:p w14:paraId="7975205A" w14:textId="77777777" w:rsidR="005E6C8C" w:rsidRPr="00CA6574" w:rsidRDefault="005E6C8C" w:rsidP="005E6C8C">
            <w:pPr>
              <w:pStyle w:val="Level111G1"/>
            </w:pPr>
          </w:p>
        </w:tc>
        <w:tc>
          <w:tcPr>
            <w:tcW w:w="450" w:type="dxa"/>
            <w:tcBorders>
              <w:left w:val="single" w:sz="6" w:space="0" w:color="auto"/>
            </w:tcBorders>
          </w:tcPr>
          <w:p w14:paraId="1D671299" w14:textId="77777777" w:rsidR="005E6C8C" w:rsidRPr="00CA6574" w:rsidRDefault="005E6C8C" w:rsidP="005E6C8C">
            <w:pPr>
              <w:pStyle w:val="Level111G1"/>
            </w:pPr>
          </w:p>
        </w:tc>
        <w:tc>
          <w:tcPr>
            <w:tcW w:w="450" w:type="dxa"/>
            <w:tcBorders>
              <w:left w:val="single" w:sz="6" w:space="0" w:color="auto"/>
            </w:tcBorders>
          </w:tcPr>
          <w:p w14:paraId="1641370D" w14:textId="77777777" w:rsidR="005E6C8C" w:rsidRPr="00CA6574" w:rsidRDefault="005E6C8C" w:rsidP="005E6C8C">
            <w:pPr>
              <w:pStyle w:val="Level111G1"/>
            </w:pPr>
          </w:p>
        </w:tc>
        <w:tc>
          <w:tcPr>
            <w:tcW w:w="1001" w:type="dxa"/>
            <w:tcBorders>
              <w:left w:val="single" w:sz="6" w:space="0" w:color="auto"/>
            </w:tcBorders>
          </w:tcPr>
          <w:p w14:paraId="5EE99B6D" w14:textId="77777777" w:rsidR="005E6C8C" w:rsidRPr="00CA6574" w:rsidRDefault="005E6C8C" w:rsidP="005E6C8C">
            <w:pPr>
              <w:pStyle w:val="Level111G1"/>
            </w:pPr>
          </w:p>
        </w:tc>
        <w:tc>
          <w:tcPr>
            <w:tcW w:w="1001" w:type="dxa"/>
            <w:tcBorders>
              <w:left w:val="single" w:sz="6" w:space="0" w:color="auto"/>
            </w:tcBorders>
          </w:tcPr>
          <w:p w14:paraId="42FC9D28" w14:textId="77777777" w:rsidR="005E6C8C" w:rsidRPr="00CA6574" w:rsidRDefault="005E6C8C" w:rsidP="005E6C8C">
            <w:pPr>
              <w:pStyle w:val="Level111G1"/>
            </w:pPr>
          </w:p>
        </w:tc>
      </w:tr>
      <w:tr w:rsidR="005E6C8C" w:rsidRPr="00CA6574" w14:paraId="7243EC3F" w14:textId="77777777">
        <w:trPr>
          <w:cantSplit/>
        </w:trPr>
        <w:tc>
          <w:tcPr>
            <w:tcW w:w="6948" w:type="dxa"/>
          </w:tcPr>
          <w:p w14:paraId="79C219FB" w14:textId="1936E628" w:rsidR="005E6C8C" w:rsidRPr="00CA6574" w:rsidRDefault="005E6C8C" w:rsidP="005E6C8C">
            <w:pPr>
              <w:pStyle w:val="Level111G1"/>
            </w:pPr>
            <w:r w:rsidRPr="00CA6574">
              <w:tab/>
            </w:r>
            <w:r w:rsidRPr="00B47038">
              <w:t>3.8</w:t>
            </w:r>
            <w:r w:rsidRPr="00B47038">
              <w:tab/>
              <w:t xml:space="preserve">Consider reviewing GST/HST/PST returns filed. Further information </w:t>
            </w:r>
            <w:r>
              <w:br/>
            </w:r>
            <w:r w:rsidRPr="00B47038">
              <w:t>can be found at www.cra-arc.gc.ca and www2.gov.bc.ca.</w:t>
            </w:r>
          </w:p>
        </w:tc>
        <w:tc>
          <w:tcPr>
            <w:tcW w:w="450" w:type="dxa"/>
            <w:tcBorders>
              <w:left w:val="single" w:sz="6" w:space="0" w:color="auto"/>
            </w:tcBorders>
          </w:tcPr>
          <w:p w14:paraId="266BA700" w14:textId="77777777" w:rsidR="005E6C8C" w:rsidRPr="00CA6574" w:rsidRDefault="005E6C8C" w:rsidP="005E6C8C">
            <w:pPr>
              <w:pStyle w:val="Level111G1"/>
            </w:pPr>
          </w:p>
        </w:tc>
        <w:tc>
          <w:tcPr>
            <w:tcW w:w="450" w:type="dxa"/>
            <w:tcBorders>
              <w:left w:val="single" w:sz="6" w:space="0" w:color="auto"/>
            </w:tcBorders>
          </w:tcPr>
          <w:p w14:paraId="0AF2655F" w14:textId="77777777" w:rsidR="005E6C8C" w:rsidRPr="00CA6574" w:rsidRDefault="005E6C8C" w:rsidP="005E6C8C">
            <w:pPr>
              <w:pStyle w:val="Level111G1"/>
            </w:pPr>
          </w:p>
        </w:tc>
        <w:tc>
          <w:tcPr>
            <w:tcW w:w="450" w:type="dxa"/>
            <w:tcBorders>
              <w:left w:val="single" w:sz="6" w:space="0" w:color="auto"/>
            </w:tcBorders>
          </w:tcPr>
          <w:p w14:paraId="1027B419" w14:textId="77777777" w:rsidR="005E6C8C" w:rsidRPr="00CA6574" w:rsidRDefault="005E6C8C" w:rsidP="005E6C8C">
            <w:pPr>
              <w:pStyle w:val="Level111G1"/>
            </w:pPr>
          </w:p>
        </w:tc>
        <w:tc>
          <w:tcPr>
            <w:tcW w:w="1001" w:type="dxa"/>
            <w:tcBorders>
              <w:left w:val="single" w:sz="6" w:space="0" w:color="auto"/>
            </w:tcBorders>
          </w:tcPr>
          <w:p w14:paraId="5E34DA9A" w14:textId="77777777" w:rsidR="005E6C8C" w:rsidRPr="00CA6574" w:rsidRDefault="005E6C8C" w:rsidP="005E6C8C">
            <w:pPr>
              <w:pStyle w:val="Level111G1"/>
            </w:pPr>
          </w:p>
        </w:tc>
        <w:tc>
          <w:tcPr>
            <w:tcW w:w="1001" w:type="dxa"/>
            <w:tcBorders>
              <w:left w:val="single" w:sz="6" w:space="0" w:color="auto"/>
            </w:tcBorders>
          </w:tcPr>
          <w:p w14:paraId="2CB336A4" w14:textId="77777777" w:rsidR="005E6C8C" w:rsidRPr="00CA6574" w:rsidRDefault="005E6C8C" w:rsidP="005E6C8C">
            <w:pPr>
              <w:pStyle w:val="Level111G1"/>
            </w:pPr>
          </w:p>
        </w:tc>
      </w:tr>
      <w:tr w:rsidR="005E6C8C" w:rsidRPr="00CA6574" w14:paraId="1812222D" w14:textId="77777777">
        <w:trPr>
          <w:cantSplit/>
        </w:trPr>
        <w:tc>
          <w:tcPr>
            <w:tcW w:w="6948" w:type="dxa"/>
          </w:tcPr>
          <w:p w14:paraId="32CB0F58" w14:textId="00A46A36" w:rsidR="005E6C8C" w:rsidRPr="00CA6574" w:rsidRDefault="005E6C8C" w:rsidP="005E6C8C">
            <w:pPr>
              <w:pStyle w:val="Level111G1"/>
              <w:ind w:left="0" w:firstLine="0"/>
            </w:pPr>
            <w:r w:rsidRPr="00CA6574">
              <w:tab/>
              <w:t>3.9</w:t>
            </w:r>
            <w:r w:rsidRPr="00CA6574">
              <w:tab/>
              <w:t>Consider</w:t>
            </w:r>
            <w:r w:rsidR="006452C9">
              <w:t xml:space="preserve"> </w:t>
            </w:r>
            <w:r w:rsidRPr="00CA6574">
              <w:t>consulting a tax expert</w:t>
            </w:r>
            <w:r w:rsidR="006452C9">
              <w:t xml:space="preserve"> (in discussion with the client’s accountant)</w:t>
            </w:r>
            <w:r w:rsidRPr="00CA6574">
              <w:t>.</w:t>
            </w:r>
          </w:p>
        </w:tc>
        <w:tc>
          <w:tcPr>
            <w:tcW w:w="450" w:type="dxa"/>
            <w:tcBorders>
              <w:left w:val="single" w:sz="6" w:space="0" w:color="auto"/>
            </w:tcBorders>
          </w:tcPr>
          <w:p w14:paraId="3318705F" w14:textId="77777777" w:rsidR="005E6C8C" w:rsidRPr="00CA6574" w:rsidRDefault="005E6C8C" w:rsidP="005E6C8C">
            <w:pPr>
              <w:pStyle w:val="Level111G1"/>
            </w:pPr>
          </w:p>
        </w:tc>
        <w:tc>
          <w:tcPr>
            <w:tcW w:w="450" w:type="dxa"/>
            <w:tcBorders>
              <w:left w:val="single" w:sz="6" w:space="0" w:color="auto"/>
            </w:tcBorders>
          </w:tcPr>
          <w:p w14:paraId="4B9BB857" w14:textId="77777777" w:rsidR="005E6C8C" w:rsidRPr="00CA6574" w:rsidRDefault="005E6C8C" w:rsidP="005E6C8C">
            <w:pPr>
              <w:pStyle w:val="Level111G1"/>
            </w:pPr>
          </w:p>
        </w:tc>
        <w:tc>
          <w:tcPr>
            <w:tcW w:w="450" w:type="dxa"/>
            <w:tcBorders>
              <w:left w:val="single" w:sz="6" w:space="0" w:color="auto"/>
            </w:tcBorders>
          </w:tcPr>
          <w:p w14:paraId="2FFBB48D" w14:textId="77777777" w:rsidR="005E6C8C" w:rsidRPr="00CA6574" w:rsidRDefault="005E6C8C" w:rsidP="005E6C8C">
            <w:pPr>
              <w:pStyle w:val="Level111G1"/>
            </w:pPr>
          </w:p>
        </w:tc>
        <w:tc>
          <w:tcPr>
            <w:tcW w:w="1001" w:type="dxa"/>
            <w:tcBorders>
              <w:left w:val="single" w:sz="6" w:space="0" w:color="auto"/>
            </w:tcBorders>
          </w:tcPr>
          <w:p w14:paraId="664A61FB" w14:textId="77777777" w:rsidR="005E6C8C" w:rsidRPr="00CA6574" w:rsidRDefault="005E6C8C" w:rsidP="005E6C8C">
            <w:pPr>
              <w:pStyle w:val="Level111G1"/>
            </w:pPr>
          </w:p>
        </w:tc>
        <w:tc>
          <w:tcPr>
            <w:tcW w:w="1001" w:type="dxa"/>
            <w:tcBorders>
              <w:left w:val="single" w:sz="6" w:space="0" w:color="auto"/>
            </w:tcBorders>
          </w:tcPr>
          <w:p w14:paraId="4E9DD571" w14:textId="77777777" w:rsidR="005E6C8C" w:rsidRPr="00CA6574" w:rsidRDefault="005E6C8C" w:rsidP="005E6C8C">
            <w:pPr>
              <w:pStyle w:val="Level111G1"/>
            </w:pPr>
          </w:p>
        </w:tc>
      </w:tr>
      <w:tr w:rsidR="005E6C8C" w:rsidRPr="00CA6574" w14:paraId="3458B63C" w14:textId="77777777" w:rsidTr="00AC72D4">
        <w:trPr>
          <w:cantSplit/>
          <w:trHeight w:val="630"/>
        </w:trPr>
        <w:tc>
          <w:tcPr>
            <w:tcW w:w="6948" w:type="dxa"/>
          </w:tcPr>
          <w:p w14:paraId="0AB5CED3" w14:textId="77777777" w:rsidR="005E6C8C" w:rsidRPr="00CA6574" w:rsidRDefault="005E6C8C" w:rsidP="005E6C8C">
            <w:pPr>
              <w:pStyle w:val="Level111G1"/>
            </w:pPr>
            <w:r w:rsidRPr="00CA6574">
              <w:tab/>
              <w:t>3.10</w:t>
            </w:r>
            <w:r w:rsidRPr="00CA6574">
              <w:tab/>
              <w:t>Consider the impact</w:t>
            </w:r>
            <w:r>
              <w:t>s</w:t>
            </w:r>
            <w:r w:rsidRPr="00CA6574">
              <w:t xml:space="preserve"> o</w:t>
            </w:r>
            <w:r>
              <w:t>n</w:t>
            </w:r>
            <w:r w:rsidRPr="00CA6574">
              <w:t xml:space="preserve"> the transaction o</w:t>
            </w:r>
            <w:r>
              <w:t>f</w:t>
            </w:r>
            <w:r w:rsidRPr="00CA6574">
              <w:t xml:space="preserve"> the </w:t>
            </w:r>
            <w:r w:rsidRPr="00CA6574">
              <w:rPr>
                <w:i/>
              </w:rPr>
              <w:t>Family Law Act</w:t>
            </w:r>
            <w:r w:rsidRPr="00CA6574">
              <w:t xml:space="preserve">, S.B.C. 2011, c. 25 (or if applicable, the former legislation, </w:t>
            </w:r>
            <w:r w:rsidRPr="00CA6574">
              <w:rPr>
                <w:i/>
              </w:rPr>
              <w:t>Family Relations Act</w:t>
            </w:r>
            <w:r w:rsidRPr="00CA6574">
              <w:t>, R.S.B.C. 1996, c. 128)</w:t>
            </w:r>
            <w:r>
              <w:t>;</w:t>
            </w:r>
            <w:r w:rsidRPr="00CA6574">
              <w:t xml:space="preserve"> </w:t>
            </w:r>
            <w:r w:rsidRPr="00CA6574">
              <w:rPr>
                <w:rStyle w:val="Italics"/>
                <w:rFonts w:ascii="Times New Roman" w:hAnsi="Times New Roman"/>
              </w:rPr>
              <w:t>Investment Canada Act</w:t>
            </w:r>
            <w:r w:rsidRPr="00CA6574">
              <w:t>, R.S.C. 1985, c. 28 (1st Supp.)</w:t>
            </w:r>
            <w:r>
              <w:t>;</w:t>
            </w:r>
            <w:r w:rsidRPr="00CA6574">
              <w:t xml:space="preserve"> </w:t>
            </w:r>
            <w:r w:rsidRPr="00CA6574">
              <w:rPr>
                <w:rStyle w:val="Italics"/>
                <w:rFonts w:ascii="Times New Roman" w:hAnsi="Times New Roman"/>
              </w:rPr>
              <w:t>Competition Act</w:t>
            </w:r>
            <w:r>
              <w:rPr>
                <w:rStyle w:val="Italics"/>
              </w:rPr>
              <w:t>;</w:t>
            </w:r>
            <w:r w:rsidRPr="00CA6574">
              <w:rPr>
                <w:rStyle w:val="Italics"/>
                <w:rFonts w:ascii="Times New Roman" w:hAnsi="Times New Roman"/>
              </w:rPr>
              <w:t xml:space="preserve"> </w:t>
            </w:r>
            <w:r w:rsidRPr="00CA6574">
              <w:t>and other relevant legislation.</w:t>
            </w:r>
          </w:p>
        </w:tc>
        <w:tc>
          <w:tcPr>
            <w:tcW w:w="450" w:type="dxa"/>
            <w:tcBorders>
              <w:left w:val="single" w:sz="6" w:space="0" w:color="auto"/>
            </w:tcBorders>
          </w:tcPr>
          <w:p w14:paraId="7BCC2A26" w14:textId="77777777" w:rsidR="005E6C8C" w:rsidRPr="00CA6574" w:rsidRDefault="005E6C8C" w:rsidP="005E6C8C">
            <w:pPr>
              <w:pStyle w:val="Level111G1"/>
            </w:pPr>
          </w:p>
        </w:tc>
        <w:tc>
          <w:tcPr>
            <w:tcW w:w="450" w:type="dxa"/>
            <w:tcBorders>
              <w:left w:val="single" w:sz="6" w:space="0" w:color="auto"/>
            </w:tcBorders>
          </w:tcPr>
          <w:p w14:paraId="6279E82B" w14:textId="77777777" w:rsidR="005E6C8C" w:rsidRPr="00CA6574" w:rsidRDefault="005E6C8C" w:rsidP="005E6C8C">
            <w:pPr>
              <w:pStyle w:val="Level111G1"/>
            </w:pPr>
          </w:p>
        </w:tc>
        <w:tc>
          <w:tcPr>
            <w:tcW w:w="450" w:type="dxa"/>
            <w:tcBorders>
              <w:left w:val="single" w:sz="6" w:space="0" w:color="auto"/>
            </w:tcBorders>
          </w:tcPr>
          <w:p w14:paraId="79CC96E7" w14:textId="77777777" w:rsidR="005E6C8C" w:rsidRPr="00CA6574" w:rsidRDefault="005E6C8C" w:rsidP="005E6C8C">
            <w:pPr>
              <w:pStyle w:val="Level111G1"/>
            </w:pPr>
          </w:p>
        </w:tc>
        <w:tc>
          <w:tcPr>
            <w:tcW w:w="1001" w:type="dxa"/>
            <w:tcBorders>
              <w:left w:val="single" w:sz="6" w:space="0" w:color="auto"/>
            </w:tcBorders>
          </w:tcPr>
          <w:p w14:paraId="38C62197" w14:textId="77777777" w:rsidR="005E6C8C" w:rsidRPr="00CA6574" w:rsidRDefault="005E6C8C" w:rsidP="005E6C8C">
            <w:pPr>
              <w:pStyle w:val="Level111G1"/>
            </w:pPr>
          </w:p>
        </w:tc>
        <w:tc>
          <w:tcPr>
            <w:tcW w:w="1001" w:type="dxa"/>
            <w:tcBorders>
              <w:left w:val="single" w:sz="6" w:space="0" w:color="auto"/>
            </w:tcBorders>
          </w:tcPr>
          <w:p w14:paraId="2403797F" w14:textId="77777777" w:rsidR="005E6C8C" w:rsidRPr="00CA6574" w:rsidRDefault="005E6C8C" w:rsidP="005E6C8C">
            <w:pPr>
              <w:pStyle w:val="Level111G1"/>
            </w:pPr>
          </w:p>
        </w:tc>
      </w:tr>
      <w:tr w:rsidR="005E6C8C" w:rsidRPr="00CA6574" w14:paraId="3F1E5D90" w14:textId="77777777" w:rsidTr="00E70FC8">
        <w:trPr>
          <w:cantSplit/>
          <w:trHeight w:val="585"/>
        </w:trPr>
        <w:tc>
          <w:tcPr>
            <w:tcW w:w="6948" w:type="dxa"/>
          </w:tcPr>
          <w:p w14:paraId="59A444E8" w14:textId="3E8B3A23" w:rsidR="005E6C8C" w:rsidRPr="00CA6574" w:rsidRDefault="005E6C8C" w:rsidP="005E6C8C">
            <w:pPr>
              <w:pStyle w:val="Level111G1"/>
            </w:pPr>
            <w:r w:rsidRPr="00CA6574">
              <w:tab/>
              <w:t>3.11</w:t>
            </w:r>
            <w:r w:rsidRPr="00CA6574">
              <w:tab/>
            </w:r>
            <w:r>
              <w:t>Consider target company’s employees and contractors</w:t>
            </w:r>
            <w:r w:rsidR="002122CE">
              <w:t>,</w:t>
            </w:r>
            <w:r>
              <w:t xml:space="preserve"> and review available employment agreements.</w:t>
            </w:r>
          </w:p>
        </w:tc>
        <w:tc>
          <w:tcPr>
            <w:tcW w:w="450" w:type="dxa"/>
            <w:tcBorders>
              <w:left w:val="single" w:sz="6" w:space="0" w:color="auto"/>
            </w:tcBorders>
          </w:tcPr>
          <w:p w14:paraId="0DF45D5D" w14:textId="77777777" w:rsidR="005E6C8C" w:rsidRPr="00CA6574" w:rsidRDefault="005E6C8C" w:rsidP="005E6C8C">
            <w:pPr>
              <w:pStyle w:val="Level111G1"/>
            </w:pPr>
          </w:p>
        </w:tc>
        <w:tc>
          <w:tcPr>
            <w:tcW w:w="450" w:type="dxa"/>
            <w:tcBorders>
              <w:left w:val="single" w:sz="6" w:space="0" w:color="auto"/>
            </w:tcBorders>
          </w:tcPr>
          <w:p w14:paraId="72AE6D88" w14:textId="77777777" w:rsidR="005E6C8C" w:rsidRPr="00CA6574" w:rsidRDefault="005E6C8C" w:rsidP="005E6C8C">
            <w:pPr>
              <w:pStyle w:val="Level111G1"/>
            </w:pPr>
          </w:p>
        </w:tc>
        <w:tc>
          <w:tcPr>
            <w:tcW w:w="450" w:type="dxa"/>
            <w:tcBorders>
              <w:left w:val="single" w:sz="6" w:space="0" w:color="auto"/>
            </w:tcBorders>
          </w:tcPr>
          <w:p w14:paraId="28ACF5D1" w14:textId="77777777" w:rsidR="005E6C8C" w:rsidRPr="00CA6574" w:rsidRDefault="005E6C8C" w:rsidP="005E6C8C">
            <w:pPr>
              <w:pStyle w:val="Level111G1"/>
            </w:pPr>
          </w:p>
        </w:tc>
        <w:tc>
          <w:tcPr>
            <w:tcW w:w="1001" w:type="dxa"/>
            <w:tcBorders>
              <w:left w:val="single" w:sz="6" w:space="0" w:color="auto"/>
            </w:tcBorders>
          </w:tcPr>
          <w:p w14:paraId="0E5F0CB3" w14:textId="77777777" w:rsidR="005E6C8C" w:rsidRPr="00CA6574" w:rsidRDefault="005E6C8C" w:rsidP="005E6C8C">
            <w:pPr>
              <w:pStyle w:val="Level111G1"/>
            </w:pPr>
          </w:p>
        </w:tc>
        <w:tc>
          <w:tcPr>
            <w:tcW w:w="1001" w:type="dxa"/>
            <w:tcBorders>
              <w:left w:val="single" w:sz="6" w:space="0" w:color="auto"/>
            </w:tcBorders>
          </w:tcPr>
          <w:p w14:paraId="6F76E439" w14:textId="77777777" w:rsidR="005E6C8C" w:rsidRPr="00CA6574" w:rsidRDefault="005E6C8C" w:rsidP="005E6C8C">
            <w:pPr>
              <w:pStyle w:val="Level111G1"/>
            </w:pPr>
          </w:p>
        </w:tc>
      </w:tr>
      <w:tr w:rsidR="005E6C8C" w:rsidRPr="00CA6574" w14:paraId="74CEC684" w14:textId="77777777" w:rsidTr="00A30C1A">
        <w:trPr>
          <w:cantSplit/>
          <w:trHeight w:val="423"/>
        </w:trPr>
        <w:tc>
          <w:tcPr>
            <w:tcW w:w="6948" w:type="dxa"/>
          </w:tcPr>
          <w:p w14:paraId="4A53DF02" w14:textId="7E42241C" w:rsidR="005E6C8C" w:rsidRPr="00CA6574" w:rsidRDefault="005E6C8C" w:rsidP="005E6C8C">
            <w:pPr>
              <w:pStyle w:val="Level111G1"/>
            </w:pPr>
            <w:r w:rsidRPr="00CA6574">
              <w:lastRenderedPageBreak/>
              <w:tab/>
              <w:t>3.1</w:t>
            </w:r>
            <w:r>
              <w:t>2</w:t>
            </w:r>
            <w:r w:rsidRPr="00CA6574">
              <w:tab/>
              <w:t xml:space="preserve">Open a document file and retain successive drafts of the agreement. Open a separate </w:t>
            </w:r>
            <w:r>
              <w:t>sub-</w:t>
            </w:r>
            <w:r w:rsidRPr="00CA6574">
              <w:t>file for each major document required in the transaction.</w:t>
            </w:r>
          </w:p>
        </w:tc>
        <w:tc>
          <w:tcPr>
            <w:tcW w:w="450" w:type="dxa"/>
            <w:tcBorders>
              <w:left w:val="single" w:sz="6" w:space="0" w:color="auto"/>
            </w:tcBorders>
          </w:tcPr>
          <w:p w14:paraId="0E9F26F2" w14:textId="77777777" w:rsidR="005E6C8C" w:rsidRPr="00CA6574" w:rsidRDefault="005E6C8C" w:rsidP="005E6C8C">
            <w:pPr>
              <w:pStyle w:val="Level111G1"/>
            </w:pPr>
          </w:p>
        </w:tc>
        <w:tc>
          <w:tcPr>
            <w:tcW w:w="450" w:type="dxa"/>
            <w:tcBorders>
              <w:left w:val="single" w:sz="6" w:space="0" w:color="auto"/>
            </w:tcBorders>
          </w:tcPr>
          <w:p w14:paraId="0AA5D5E1" w14:textId="77777777" w:rsidR="005E6C8C" w:rsidRPr="00CA6574" w:rsidRDefault="005E6C8C" w:rsidP="005E6C8C">
            <w:pPr>
              <w:pStyle w:val="Level111G1"/>
            </w:pPr>
          </w:p>
        </w:tc>
        <w:tc>
          <w:tcPr>
            <w:tcW w:w="450" w:type="dxa"/>
            <w:tcBorders>
              <w:left w:val="single" w:sz="6" w:space="0" w:color="auto"/>
            </w:tcBorders>
          </w:tcPr>
          <w:p w14:paraId="170AC28D" w14:textId="77777777" w:rsidR="005E6C8C" w:rsidRPr="00CA6574" w:rsidRDefault="005E6C8C" w:rsidP="005E6C8C">
            <w:pPr>
              <w:pStyle w:val="Level111G1"/>
            </w:pPr>
          </w:p>
        </w:tc>
        <w:tc>
          <w:tcPr>
            <w:tcW w:w="1001" w:type="dxa"/>
            <w:tcBorders>
              <w:left w:val="single" w:sz="6" w:space="0" w:color="auto"/>
            </w:tcBorders>
          </w:tcPr>
          <w:p w14:paraId="12D65C57" w14:textId="77777777" w:rsidR="005E6C8C" w:rsidRPr="00CA6574" w:rsidRDefault="005E6C8C" w:rsidP="005E6C8C">
            <w:pPr>
              <w:pStyle w:val="Level111G1"/>
            </w:pPr>
          </w:p>
        </w:tc>
        <w:tc>
          <w:tcPr>
            <w:tcW w:w="1001" w:type="dxa"/>
            <w:tcBorders>
              <w:left w:val="single" w:sz="6" w:space="0" w:color="auto"/>
            </w:tcBorders>
          </w:tcPr>
          <w:p w14:paraId="44A12329" w14:textId="77777777" w:rsidR="005E6C8C" w:rsidRPr="00CA6574" w:rsidRDefault="005E6C8C" w:rsidP="005E6C8C">
            <w:pPr>
              <w:pStyle w:val="Level111G1"/>
            </w:pPr>
          </w:p>
        </w:tc>
      </w:tr>
      <w:tr w:rsidR="005E6C8C" w:rsidRPr="00CA6574" w14:paraId="60B1689A" w14:textId="77777777">
        <w:trPr>
          <w:cantSplit/>
        </w:trPr>
        <w:tc>
          <w:tcPr>
            <w:tcW w:w="6948" w:type="dxa"/>
          </w:tcPr>
          <w:p w14:paraId="3BA2A200" w14:textId="77777777" w:rsidR="005E6C8C" w:rsidRPr="00CA6574" w:rsidRDefault="005E6C8C" w:rsidP="005E6C8C">
            <w:pPr>
              <w:pStyle w:val="NumberedheadingGH"/>
              <w:keepNext w:val="0"/>
              <w:keepLines w:val="0"/>
            </w:pPr>
            <w:r w:rsidRPr="00CA6574">
              <w:t>4.</w:t>
            </w:r>
            <w:r w:rsidRPr="00CA6574">
              <w:tab/>
              <w:t>DRAFTING THE AGREEMENT</w:t>
            </w:r>
          </w:p>
        </w:tc>
        <w:tc>
          <w:tcPr>
            <w:tcW w:w="450" w:type="dxa"/>
            <w:tcBorders>
              <w:left w:val="single" w:sz="6" w:space="0" w:color="auto"/>
            </w:tcBorders>
          </w:tcPr>
          <w:p w14:paraId="692DB0FD" w14:textId="77777777" w:rsidR="005E6C8C" w:rsidRPr="00CA6574" w:rsidRDefault="005E6C8C" w:rsidP="005E6C8C">
            <w:pPr>
              <w:pStyle w:val="NumberedheadingGH"/>
              <w:keepNext w:val="0"/>
              <w:keepLines w:val="0"/>
              <w:jc w:val="center"/>
            </w:pPr>
          </w:p>
        </w:tc>
        <w:tc>
          <w:tcPr>
            <w:tcW w:w="450" w:type="dxa"/>
            <w:tcBorders>
              <w:left w:val="single" w:sz="6" w:space="0" w:color="auto"/>
            </w:tcBorders>
          </w:tcPr>
          <w:p w14:paraId="18EBD5B2" w14:textId="77777777" w:rsidR="005E6C8C" w:rsidRPr="00CA6574" w:rsidRDefault="005E6C8C" w:rsidP="005E6C8C">
            <w:pPr>
              <w:pStyle w:val="NumberedheadingGH"/>
              <w:keepNext w:val="0"/>
              <w:keepLines w:val="0"/>
              <w:jc w:val="center"/>
            </w:pPr>
          </w:p>
        </w:tc>
        <w:tc>
          <w:tcPr>
            <w:tcW w:w="450" w:type="dxa"/>
            <w:tcBorders>
              <w:left w:val="single" w:sz="6" w:space="0" w:color="auto"/>
            </w:tcBorders>
          </w:tcPr>
          <w:p w14:paraId="2A71C3D7" w14:textId="77777777" w:rsidR="005E6C8C" w:rsidRPr="00CA6574" w:rsidRDefault="005E6C8C" w:rsidP="005E6C8C">
            <w:pPr>
              <w:pStyle w:val="NumberedheadingGH"/>
              <w:keepNext w:val="0"/>
              <w:keepLines w:val="0"/>
              <w:jc w:val="center"/>
            </w:pPr>
          </w:p>
        </w:tc>
        <w:tc>
          <w:tcPr>
            <w:tcW w:w="1001" w:type="dxa"/>
            <w:tcBorders>
              <w:left w:val="single" w:sz="6" w:space="0" w:color="auto"/>
            </w:tcBorders>
          </w:tcPr>
          <w:p w14:paraId="6972CF18" w14:textId="77777777" w:rsidR="005E6C8C" w:rsidRPr="00CA6574" w:rsidRDefault="005E6C8C" w:rsidP="005E6C8C">
            <w:pPr>
              <w:pStyle w:val="NumberedheadingGH"/>
              <w:keepNext w:val="0"/>
              <w:keepLines w:val="0"/>
              <w:jc w:val="center"/>
            </w:pPr>
          </w:p>
        </w:tc>
        <w:tc>
          <w:tcPr>
            <w:tcW w:w="1001" w:type="dxa"/>
            <w:tcBorders>
              <w:left w:val="single" w:sz="6" w:space="0" w:color="auto"/>
            </w:tcBorders>
          </w:tcPr>
          <w:p w14:paraId="747FAA33" w14:textId="77777777" w:rsidR="005E6C8C" w:rsidRPr="00CA6574" w:rsidRDefault="005E6C8C" w:rsidP="005E6C8C">
            <w:pPr>
              <w:pStyle w:val="NumberedheadingGH"/>
              <w:keepNext w:val="0"/>
              <w:keepLines w:val="0"/>
              <w:jc w:val="center"/>
            </w:pPr>
          </w:p>
        </w:tc>
      </w:tr>
      <w:tr w:rsidR="005E6C8C" w:rsidRPr="00CA6574" w14:paraId="2C3932D3" w14:textId="77777777">
        <w:trPr>
          <w:cantSplit/>
        </w:trPr>
        <w:tc>
          <w:tcPr>
            <w:tcW w:w="6948" w:type="dxa"/>
          </w:tcPr>
          <w:p w14:paraId="1106C260" w14:textId="41B17B6E" w:rsidR="005E6C8C" w:rsidRPr="00D84E94" w:rsidRDefault="005E6C8C" w:rsidP="005E6C8C">
            <w:pPr>
              <w:pStyle w:val="Level111G1"/>
            </w:pPr>
            <w:r w:rsidRPr="00CA6574">
              <w:tab/>
              <w:t>4.1</w:t>
            </w:r>
            <w:r w:rsidRPr="00CA6574">
              <w:tab/>
              <w:t>Before drafting the agreement, prepare a timetable and a draft of the closing agenda that will act as a reminder of what is required in the transaction and when.</w:t>
            </w:r>
            <w:r>
              <w:t xml:space="preserve"> See </w:t>
            </w:r>
            <w:r>
              <w:rPr>
                <w:i/>
              </w:rPr>
              <w:t xml:space="preserve">Buying and Selling a Business: Annotated Precedents </w:t>
            </w:r>
            <w:r>
              <w:t>(CLEBC, 2000–), for a sample closing agenda for a share purchase transaction.</w:t>
            </w:r>
          </w:p>
        </w:tc>
        <w:tc>
          <w:tcPr>
            <w:tcW w:w="450" w:type="dxa"/>
            <w:tcBorders>
              <w:left w:val="single" w:sz="6" w:space="0" w:color="auto"/>
            </w:tcBorders>
          </w:tcPr>
          <w:p w14:paraId="4B5B9BF7" w14:textId="77777777" w:rsidR="005E6C8C" w:rsidRPr="00CA6574" w:rsidRDefault="005E6C8C" w:rsidP="005E6C8C">
            <w:pPr>
              <w:pStyle w:val="Level111G1"/>
            </w:pPr>
          </w:p>
        </w:tc>
        <w:tc>
          <w:tcPr>
            <w:tcW w:w="450" w:type="dxa"/>
            <w:tcBorders>
              <w:left w:val="single" w:sz="6" w:space="0" w:color="auto"/>
            </w:tcBorders>
          </w:tcPr>
          <w:p w14:paraId="147B2A53" w14:textId="77777777" w:rsidR="005E6C8C" w:rsidRPr="00CA6574" w:rsidRDefault="005E6C8C" w:rsidP="005E6C8C">
            <w:pPr>
              <w:pStyle w:val="Level111G1"/>
            </w:pPr>
          </w:p>
        </w:tc>
        <w:tc>
          <w:tcPr>
            <w:tcW w:w="450" w:type="dxa"/>
            <w:tcBorders>
              <w:left w:val="single" w:sz="6" w:space="0" w:color="auto"/>
            </w:tcBorders>
          </w:tcPr>
          <w:p w14:paraId="54137297" w14:textId="77777777" w:rsidR="005E6C8C" w:rsidRPr="00CA6574" w:rsidRDefault="005E6C8C" w:rsidP="005E6C8C">
            <w:pPr>
              <w:pStyle w:val="Level111G1"/>
            </w:pPr>
          </w:p>
        </w:tc>
        <w:tc>
          <w:tcPr>
            <w:tcW w:w="1001" w:type="dxa"/>
            <w:tcBorders>
              <w:left w:val="single" w:sz="6" w:space="0" w:color="auto"/>
            </w:tcBorders>
          </w:tcPr>
          <w:p w14:paraId="091FECCA" w14:textId="77777777" w:rsidR="005E6C8C" w:rsidRPr="00CA6574" w:rsidRDefault="005E6C8C" w:rsidP="005E6C8C">
            <w:pPr>
              <w:pStyle w:val="Level111G1"/>
            </w:pPr>
          </w:p>
        </w:tc>
        <w:tc>
          <w:tcPr>
            <w:tcW w:w="1001" w:type="dxa"/>
            <w:tcBorders>
              <w:left w:val="single" w:sz="6" w:space="0" w:color="auto"/>
            </w:tcBorders>
          </w:tcPr>
          <w:p w14:paraId="28CBC45F" w14:textId="77777777" w:rsidR="005E6C8C" w:rsidRPr="00CA6574" w:rsidRDefault="005E6C8C" w:rsidP="005E6C8C">
            <w:pPr>
              <w:pStyle w:val="Level111G1"/>
            </w:pPr>
          </w:p>
        </w:tc>
      </w:tr>
      <w:tr w:rsidR="005E6C8C" w:rsidRPr="00CA6574" w14:paraId="2E5AF303" w14:textId="77777777">
        <w:trPr>
          <w:cantSplit/>
        </w:trPr>
        <w:tc>
          <w:tcPr>
            <w:tcW w:w="6948" w:type="dxa"/>
          </w:tcPr>
          <w:p w14:paraId="295F98FA" w14:textId="719D847B" w:rsidR="005E6C8C" w:rsidRPr="00CA6574" w:rsidRDefault="005E6C8C" w:rsidP="005E6C8C">
            <w:pPr>
              <w:pStyle w:val="Level111G1"/>
            </w:pPr>
            <w:r w:rsidRPr="00CA6574">
              <w:tab/>
              <w:t>4.2</w:t>
            </w:r>
            <w:r w:rsidRPr="00CA6574">
              <w:tab/>
              <w:t>Prepare an outline of the document</w:t>
            </w:r>
            <w:r>
              <w:t xml:space="preserve"> considering the terms of the letter of intent</w:t>
            </w:r>
            <w:r w:rsidRPr="00CA6574">
              <w:t xml:space="preserve">. The </w:t>
            </w:r>
            <w:r w:rsidRPr="00CA6574">
              <w:rPr>
                <w:smallCaps/>
              </w:rPr>
              <w:t>share purchase agreement drafting</w:t>
            </w:r>
            <w:r w:rsidRPr="00CA6574">
              <w:t xml:space="preserve"> (B-4) checklist may serve as a basis for the document.</w:t>
            </w:r>
          </w:p>
        </w:tc>
        <w:tc>
          <w:tcPr>
            <w:tcW w:w="450" w:type="dxa"/>
            <w:tcBorders>
              <w:left w:val="single" w:sz="6" w:space="0" w:color="auto"/>
            </w:tcBorders>
          </w:tcPr>
          <w:p w14:paraId="537C7DDE" w14:textId="77777777" w:rsidR="005E6C8C" w:rsidRPr="00CA6574" w:rsidRDefault="005E6C8C" w:rsidP="005E6C8C">
            <w:pPr>
              <w:pStyle w:val="Level111G1"/>
            </w:pPr>
          </w:p>
        </w:tc>
        <w:tc>
          <w:tcPr>
            <w:tcW w:w="450" w:type="dxa"/>
            <w:tcBorders>
              <w:left w:val="single" w:sz="6" w:space="0" w:color="auto"/>
            </w:tcBorders>
          </w:tcPr>
          <w:p w14:paraId="69F59FB0" w14:textId="77777777" w:rsidR="005E6C8C" w:rsidRPr="00CA6574" w:rsidRDefault="005E6C8C" w:rsidP="005E6C8C">
            <w:pPr>
              <w:pStyle w:val="Level111G1"/>
            </w:pPr>
          </w:p>
        </w:tc>
        <w:tc>
          <w:tcPr>
            <w:tcW w:w="450" w:type="dxa"/>
            <w:tcBorders>
              <w:left w:val="single" w:sz="6" w:space="0" w:color="auto"/>
            </w:tcBorders>
          </w:tcPr>
          <w:p w14:paraId="0EFC0E50" w14:textId="77777777" w:rsidR="005E6C8C" w:rsidRPr="00CA6574" w:rsidRDefault="005E6C8C" w:rsidP="005E6C8C">
            <w:pPr>
              <w:pStyle w:val="Level111G1"/>
            </w:pPr>
          </w:p>
        </w:tc>
        <w:tc>
          <w:tcPr>
            <w:tcW w:w="1001" w:type="dxa"/>
            <w:tcBorders>
              <w:left w:val="single" w:sz="6" w:space="0" w:color="auto"/>
            </w:tcBorders>
          </w:tcPr>
          <w:p w14:paraId="76BDD1B3" w14:textId="77777777" w:rsidR="005E6C8C" w:rsidRPr="00CA6574" w:rsidRDefault="005E6C8C" w:rsidP="005E6C8C">
            <w:pPr>
              <w:pStyle w:val="Level111G1"/>
            </w:pPr>
          </w:p>
        </w:tc>
        <w:tc>
          <w:tcPr>
            <w:tcW w:w="1001" w:type="dxa"/>
            <w:tcBorders>
              <w:left w:val="single" w:sz="6" w:space="0" w:color="auto"/>
            </w:tcBorders>
          </w:tcPr>
          <w:p w14:paraId="6B22BA88" w14:textId="77777777" w:rsidR="005E6C8C" w:rsidRPr="00CA6574" w:rsidRDefault="005E6C8C" w:rsidP="005E6C8C">
            <w:pPr>
              <w:pStyle w:val="Level111G1"/>
            </w:pPr>
          </w:p>
        </w:tc>
      </w:tr>
      <w:tr w:rsidR="005E6C8C" w:rsidRPr="00CA6574" w14:paraId="252AA5F9" w14:textId="77777777">
        <w:trPr>
          <w:cantSplit/>
          <w:trHeight w:val="270"/>
        </w:trPr>
        <w:tc>
          <w:tcPr>
            <w:tcW w:w="6948" w:type="dxa"/>
          </w:tcPr>
          <w:p w14:paraId="72297A73" w14:textId="77777777" w:rsidR="005E6C8C" w:rsidRPr="00CA6574" w:rsidRDefault="005E6C8C" w:rsidP="005E6C8C">
            <w:pPr>
              <w:pStyle w:val="Level111G1"/>
            </w:pPr>
            <w:r w:rsidRPr="00CA6574">
              <w:tab/>
              <w:t>4.3</w:t>
            </w:r>
            <w:r w:rsidRPr="00CA6574">
              <w:tab/>
              <w:t>Prepare the first draft.</w:t>
            </w:r>
          </w:p>
        </w:tc>
        <w:tc>
          <w:tcPr>
            <w:tcW w:w="450" w:type="dxa"/>
            <w:tcBorders>
              <w:left w:val="single" w:sz="6" w:space="0" w:color="auto"/>
            </w:tcBorders>
          </w:tcPr>
          <w:p w14:paraId="3C4B8F1B" w14:textId="77777777" w:rsidR="005E6C8C" w:rsidRPr="00CA6574" w:rsidRDefault="005E6C8C" w:rsidP="005E6C8C">
            <w:pPr>
              <w:pStyle w:val="Level111G1"/>
            </w:pPr>
          </w:p>
        </w:tc>
        <w:tc>
          <w:tcPr>
            <w:tcW w:w="450" w:type="dxa"/>
            <w:tcBorders>
              <w:left w:val="single" w:sz="6" w:space="0" w:color="auto"/>
            </w:tcBorders>
          </w:tcPr>
          <w:p w14:paraId="39BDC5EB" w14:textId="77777777" w:rsidR="005E6C8C" w:rsidRPr="00CA6574" w:rsidRDefault="005E6C8C" w:rsidP="005E6C8C">
            <w:pPr>
              <w:pStyle w:val="Level111G1"/>
            </w:pPr>
          </w:p>
        </w:tc>
        <w:tc>
          <w:tcPr>
            <w:tcW w:w="450" w:type="dxa"/>
            <w:tcBorders>
              <w:left w:val="single" w:sz="6" w:space="0" w:color="auto"/>
            </w:tcBorders>
          </w:tcPr>
          <w:p w14:paraId="405E8A4F" w14:textId="77777777" w:rsidR="005E6C8C" w:rsidRPr="00CA6574" w:rsidRDefault="005E6C8C" w:rsidP="005E6C8C">
            <w:pPr>
              <w:pStyle w:val="Level111G1"/>
            </w:pPr>
          </w:p>
        </w:tc>
        <w:tc>
          <w:tcPr>
            <w:tcW w:w="1001" w:type="dxa"/>
            <w:tcBorders>
              <w:left w:val="single" w:sz="6" w:space="0" w:color="auto"/>
            </w:tcBorders>
          </w:tcPr>
          <w:p w14:paraId="05ECCC8C" w14:textId="77777777" w:rsidR="005E6C8C" w:rsidRPr="00CA6574" w:rsidRDefault="005E6C8C" w:rsidP="005E6C8C">
            <w:pPr>
              <w:pStyle w:val="Level111G1"/>
            </w:pPr>
          </w:p>
        </w:tc>
        <w:tc>
          <w:tcPr>
            <w:tcW w:w="1001" w:type="dxa"/>
            <w:tcBorders>
              <w:left w:val="single" w:sz="6" w:space="0" w:color="auto"/>
            </w:tcBorders>
          </w:tcPr>
          <w:p w14:paraId="686FD426" w14:textId="77777777" w:rsidR="005E6C8C" w:rsidRPr="00CA6574" w:rsidRDefault="005E6C8C" w:rsidP="005E6C8C">
            <w:pPr>
              <w:pStyle w:val="Level111G1"/>
            </w:pPr>
          </w:p>
        </w:tc>
      </w:tr>
      <w:tr w:rsidR="005E6C8C" w:rsidRPr="00CA6574" w14:paraId="2F220365" w14:textId="77777777" w:rsidTr="00B47038">
        <w:trPr>
          <w:cantSplit/>
          <w:trHeight w:val="414"/>
        </w:trPr>
        <w:tc>
          <w:tcPr>
            <w:tcW w:w="6948" w:type="dxa"/>
          </w:tcPr>
          <w:p w14:paraId="702E1812" w14:textId="448E337F" w:rsidR="005E6C8C" w:rsidRPr="00CA6574" w:rsidRDefault="005E6C8C" w:rsidP="005E6C8C">
            <w:pPr>
              <w:pStyle w:val="Level111G1"/>
            </w:pPr>
            <w:r w:rsidRPr="00CA6574">
              <w:tab/>
              <w:t>4.4</w:t>
            </w:r>
            <w:r w:rsidRPr="00CA6574">
              <w:tab/>
              <w:t>Review the first draft for coherence and continuity. Review the first draft with the client to ensure that it expresses the client’s intentions.</w:t>
            </w:r>
            <w:r>
              <w:t xml:space="preserve"> Consider also drafting any ancillary agreements to the draft purchase agreement.</w:t>
            </w:r>
          </w:p>
        </w:tc>
        <w:tc>
          <w:tcPr>
            <w:tcW w:w="450" w:type="dxa"/>
            <w:tcBorders>
              <w:left w:val="single" w:sz="6" w:space="0" w:color="auto"/>
            </w:tcBorders>
          </w:tcPr>
          <w:p w14:paraId="335E69D8" w14:textId="77777777" w:rsidR="005E6C8C" w:rsidRPr="00CA6574" w:rsidRDefault="005E6C8C" w:rsidP="005E6C8C">
            <w:pPr>
              <w:pStyle w:val="Level111G1"/>
            </w:pPr>
          </w:p>
        </w:tc>
        <w:tc>
          <w:tcPr>
            <w:tcW w:w="450" w:type="dxa"/>
            <w:tcBorders>
              <w:left w:val="single" w:sz="6" w:space="0" w:color="auto"/>
            </w:tcBorders>
          </w:tcPr>
          <w:p w14:paraId="480F4E52" w14:textId="77777777" w:rsidR="005E6C8C" w:rsidRPr="00CA6574" w:rsidRDefault="005E6C8C" w:rsidP="005E6C8C">
            <w:pPr>
              <w:pStyle w:val="Level111G1"/>
            </w:pPr>
          </w:p>
        </w:tc>
        <w:tc>
          <w:tcPr>
            <w:tcW w:w="450" w:type="dxa"/>
            <w:tcBorders>
              <w:left w:val="single" w:sz="6" w:space="0" w:color="auto"/>
            </w:tcBorders>
          </w:tcPr>
          <w:p w14:paraId="0E3C8B3D" w14:textId="77777777" w:rsidR="005E6C8C" w:rsidRPr="00CA6574" w:rsidRDefault="005E6C8C" w:rsidP="005E6C8C">
            <w:pPr>
              <w:pStyle w:val="Level111G1"/>
            </w:pPr>
          </w:p>
        </w:tc>
        <w:tc>
          <w:tcPr>
            <w:tcW w:w="1001" w:type="dxa"/>
            <w:tcBorders>
              <w:left w:val="single" w:sz="6" w:space="0" w:color="auto"/>
            </w:tcBorders>
          </w:tcPr>
          <w:p w14:paraId="43B668C5" w14:textId="77777777" w:rsidR="005E6C8C" w:rsidRPr="00CA6574" w:rsidRDefault="005E6C8C" w:rsidP="005E6C8C">
            <w:pPr>
              <w:pStyle w:val="Level111G1"/>
            </w:pPr>
          </w:p>
        </w:tc>
        <w:tc>
          <w:tcPr>
            <w:tcW w:w="1001" w:type="dxa"/>
            <w:tcBorders>
              <w:left w:val="single" w:sz="6" w:space="0" w:color="auto"/>
            </w:tcBorders>
          </w:tcPr>
          <w:p w14:paraId="47DE1D97" w14:textId="77777777" w:rsidR="005E6C8C" w:rsidRPr="00CA6574" w:rsidRDefault="005E6C8C" w:rsidP="005E6C8C">
            <w:pPr>
              <w:pStyle w:val="Level111G1"/>
            </w:pPr>
          </w:p>
        </w:tc>
      </w:tr>
      <w:tr w:rsidR="005E6C8C" w:rsidRPr="00CA6574" w14:paraId="659FB550" w14:textId="77777777" w:rsidTr="00DB7349">
        <w:trPr>
          <w:cantSplit/>
          <w:trHeight w:val="612"/>
        </w:trPr>
        <w:tc>
          <w:tcPr>
            <w:tcW w:w="6948" w:type="dxa"/>
          </w:tcPr>
          <w:p w14:paraId="46E915DA" w14:textId="77777777" w:rsidR="005E6C8C" w:rsidRPr="00CA6574" w:rsidRDefault="005E6C8C" w:rsidP="005E6C8C">
            <w:pPr>
              <w:pStyle w:val="Level111G1"/>
            </w:pPr>
            <w:r w:rsidRPr="00CA6574">
              <w:tab/>
              <w:t>4.5</w:t>
            </w:r>
            <w:r w:rsidRPr="00CA6574">
              <w:tab/>
              <w:t xml:space="preserve">When you and the client are satisfied with the agreement, send it to the vendor or </w:t>
            </w:r>
            <w:r>
              <w:t>their</w:t>
            </w:r>
            <w:r w:rsidRPr="00CA6574">
              <w:t xml:space="preserve"> lawyer for comment and changes.</w:t>
            </w:r>
          </w:p>
        </w:tc>
        <w:tc>
          <w:tcPr>
            <w:tcW w:w="450" w:type="dxa"/>
            <w:tcBorders>
              <w:left w:val="single" w:sz="6" w:space="0" w:color="auto"/>
            </w:tcBorders>
          </w:tcPr>
          <w:p w14:paraId="76F83611" w14:textId="77777777" w:rsidR="005E6C8C" w:rsidRPr="00CA6574" w:rsidRDefault="005E6C8C" w:rsidP="005E6C8C">
            <w:pPr>
              <w:pStyle w:val="Level111G1"/>
            </w:pPr>
          </w:p>
        </w:tc>
        <w:tc>
          <w:tcPr>
            <w:tcW w:w="450" w:type="dxa"/>
            <w:tcBorders>
              <w:left w:val="single" w:sz="6" w:space="0" w:color="auto"/>
            </w:tcBorders>
          </w:tcPr>
          <w:p w14:paraId="2B3F1D44" w14:textId="77777777" w:rsidR="005E6C8C" w:rsidRPr="00CA6574" w:rsidRDefault="005E6C8C" w:rsidP="005E6C8C">
            <w:pPr>
              <w:pStyle w:val="Level111G1"/>
            </w:pPr>
          </w:p>
        </w:tc>
        <w:tc>
          <w:tcPr>
            <w:tcW w:w="450" w:type="dxa"/>
            <w:tcBorders>
              <w:left w:val="single" w:sz="6" w:space="0" w:color="auto"/>
            </w:tcBorders>
          </w:tcPr>
          <w:p w14:paraId="2F52938B" w14:textId="77777777" w:rsidR="005E6C8C" w:rsidRPr="00CA6574" w:rsidRDefault="005E6C8C" w:rsidP="005E6C8C">
            <w:pPr>
              <w:pStyle w:val="Level111G1"/>
            </w:pPr>
          </w:p>
        </w:tc>
        <w:tc>
          <w:tcPr>
            <w:tcW w:w="1001" w:type="dxa"/>
            <w:tcBorders>
              <w:left w:val="single" w:sz="6" w:space="0" w:color="auto"/>
            </w:tcBorders>
          </w:tcPr>
          <w:p w14:paraId="0DF30D2C" w14:textId="77777777" w:rsidR="005E6C8C" w:rsidRPr="00CA6574" w:rsidRDefault="005E6C8C" w:rsidP="005E6C8C">
            <w:pPr>
              <w:pStyle w:val="Level111G1"/>
            </w:pPr>
          </w:p>
        </w:tc>
        <w:tc>
          <w:tcPr>
            <w:tcW w:w="1001" w:type="dxa"/>
            <w:tcBorders>
              <w:left w:val="single" w:sz="6" w:space="0" w:color="auto"/>
            </w:tcBorders>
          </w:tcPr>
          <w:p w14:paraId="404D0403" w14:textId="77777777" w:rsidR="005E6C8C" w:rsidRPr="00CA6574" w:rsidRDefault="005E6C8C" w:rsidP="005E6C8C">
            <w:pPr>
              <w:pStyle w:val="Level111G1"/>
            </w:pPr>
          </w:p>
        </w:tc>
      </w:tr>
      <w:tr w:rsidR="005E6C8C" w:rsidRPr="00CA6574" w14:paraId="1F16BFDA" w14:textId="77777777" w:rsidTr="00070003">
        <w:trPr>
          <w:cantSplit/>
          <w:trHeight w:val="630"/>
        </w:trPr>
        <w:tc>
          <w:tcPr>
            <w:tcW w:w="6948" w:type="dxa"/>
          </w:tcPr>
          <w:p w14:paraId="3AFBB02E" w14:textId="6A17DE2D" w:rsidR="005E6C8C" w:rsidRPr="00CA6574" w:rsidRDefault="005E6C8C" w:rsidP="005E6C8C">
            <w:pPr>
              <w:pStyle w:val="Level111G1"/>
            </w:pPr>
            <w:r w:rsidRPr="00CA6574">
              <w:tab/>
              <w:t>4.6</w:t>
            </w:r>
            <w:r w:rsidRPr="00CA6574">
              <w:tab/>
              <w:t>Note changes to the agreement made during the course of negotiation in some readily discernible manner.</w:t>
            </w:r>
          </w:p>
        </w:tc>
        <w:tc>
          <w:tcPr>
            <w:tcW w:w="450" w:type="dxa"/>
            <w:tcBorders>
              <w:left w:val="single" w:sz="6" w:space="0" w:color="auto"/>
            </w:tcBorders>
          </w:tcPr>
          <w:p w14:paraId="64A2A0B0" w14:textId="77777777" w:rsidR="005E6C8C" w:rsidRPr="00CA6574" w:rsidRDefault="005E6C8C" w:rsidP="005E6C8C">
            <w:pPr>
              <w:pStyle w:val="Level111G1"/>
            </w:pPr>
          </w:p>
        </w:tc>
        <w:tc>
          <w:tcPr>
            <w:tcW w:w="450" w:type="dxa"/>
            <w:tcBorders>
              <w:left w:val="single" w:sz="6" w:space="0" w:color="auto"/>
            </w:tcBorders>
          </w:tcPr>
          <w:p w14:paraId="4DFB60D2" w14:textId="77777777" w:rsidR="005E6C8C" w:rsidRPr="00CA6574" w:rsidRDefault="005E6C8C" w:rsidP="005E6C8C">
            <w:pPr>
              <w:pStyle w:val="Level111G1"/>
            </w:pPr>
          </w:p>
        </w:tc>
        <w:tc>
          <w:tcPr>
            <w:tcW w:w="450" w:type="dxa"/>
            <w:tcBorders>
              <w:left w:val="single" w:sz="6" w:space="0" w:color="auto"/>
            </w:tcBorders>
          </w:tcPr>
          <w:p w14:paraId="3FBE2CCF" w14:textId="77777777" w:rsidR="005E6C8C" w:rsidRPr="00CA6574" w:rsidRDefault="005E6C8C" w:rsidP="005E6C8C">
            <w:pPr>
              <w:pStyle w:val="Level111G1"/>
            </w:pPr>
          </w:p>
        </w:tc>
        <w:tc>
          <w:tcPr>
            <w:tcW w:w="1001" w:type="dxa"/>
            <w:tcBorders>
              <w:left w:val="single" w:sz="6" w:space="0" w:color="auto"/>
            </w:tcBorders>
          </w:tcPr>
          <w:p w14:paraId="7DC9D6D7" w14:textId="77777777" w:rsidR="005E6C8C" w:rsidRPr="00CA6574" w:rsidRDefault="005E6C8C" w:rsidP="005E6C8C">
            <w:pPr>
              <w:pStyle w:val="Level111G1"/>
            </w:pPr>
          </w:p>
        </w:tc>
        <w:tc>
          <w:tcPr>
            <w:tcW w:w="1001" w:type="dxa"/>
            <w:tcBorders>
              <w:left w:val="single" w:sz="6" w:space="0" w:color="auto"/>
            </w:tcBorders>
          </w:tcPr>
          <w:p w14:paraId="4343E78C" w14:textId="77777777" w:rsidR="005E6C8C" w:rsidRPr="00CA6574" w:rsidRDefault="005E6C8C" w:rsidP="005E6C8C">
            <w:pPr>
              <w:pStyle w:val="Level111G1"/>
            </w:pPr>
          </w:p>
        </w:tc>
      </w:tr>
      <w:tr w:rsidR="005E6C8C" w:rsidRPr="00CA6574" w14:paraId="06957DF1" w14:textId="77777777" w:rsidTr="005869AF">
        <w:trPr>
          <w:cantSplit/>
          <w:trHeight w:val="180"/>
        </w:trPr>
        <w:tc>
          <w:tcPr>
            <w:tcW w:w="6948" w:type="dxa"/>
          </w:tcPr>
          <w:p w14:paraId="46CAC771" w14:textId="77777777" w:rsidR="005E6C8C" w:rsidRPr="00CA6574" w:rsidRDefault="005E6C8C" w:rsidP="005E6C8C">
            <w:pPr>
              <w:pStyle w:val="Level111G1"/>
            </w:pPr>
            <w:r w:rsidRPr="00CA6574">
              <w:tab/>
              <w:t>4.7</w:t>
            </w:r>
            <w:r w:rsidRPr="00CA6574">
              <w:tab/>
              <w:t>Do not alter the document without indicating the changes to the vendor’s lawyer.</w:t>
            </w:r>
          </w:p>
        </w:tc>
        <w:tc>
          <w:tcPr>
            <w:tcW w:w="450" w:type="dxa"/>
            <w:tcBorders>
              <w:left w:val="single" w:sz="6" w:space="0" w:color="auto"/>
            </w:tcBorders>
          </w:tcPr>
          <w:p w14:paraId="6C520B32" w14:textId="77777777" w:rsidR="005E6C8C" w:rsidRPr="00CA6574" w:rsidRDefault="005E6C8C" w:rsidP="005E6C8C">
            <w:pPr>
              <w:pStyle w:val="Level111G1"/>
            </w:pPr>
          </w:p>
        </w:tc>
        <w:tc>
          <w:tcPr>
            <w:tcW w:w="450" w:type="dxa"/>
            <w:tcBorders>
              <w:left w:val="single" w:sz="6" w:space="0" w:color="auto"/>
            </w:tcBorders>
          </w:tcPr>
          <w:p w14:paraId="22847281" w14:textId="77777777" w:rsidR="005E6C8C" w:rsidRPr="00CA6574" w:rsidRDefault="005E6C8C" w:rsidP="005E6C8C">
            <w:pPr>
              <w:pStyle w:val="Level111G1"/>
            </w:pPr>
          </w:p>
        </w:tc>
        <w:tc>
          <w:tcPr>
            <w:tcW w:w="450" w:type="dxa"/>
            <w:tcBorders>
              <w:left w:val="single" w:sz="6" w:space="0" w:color="auto"/>
            </w:tcBorders>
          </w:tcPr>
          <w:p w14:paraId="4E298392" w14:textId="77777777" w:rsidR="005E6C8C" w:rsidRPr="00CA6574" w:rsidRDefault="005E6C8C" w:rsidP="005E6C8C">
            <w:pPr>
              <w:pStyle w:val="Level111G1"/>
            </w:pPr>
          </w:p>
        </w:tc>
        <w:tc>
          <w:tcPr>
            <w:tcW w:w="1001" w:type="dxa"/>
            <w:tcBorders>
              <w:left w:val="single" w:sz="6" w:space="0" w:color="auto"/>
            </w:tcBorders>
          </w:tcPr>
          <w:p w14:paraId="29A96789" w14:textId="77777777" w:rsidR="005E6C8C" w:rsidRPr="00CA6574" w:rsidRDefault="005E6C8C" w:rsidP="005E6C8C">
            <w:pPr>
              <w:pStyle w:val="Level111G1"/>
            </w:pPr>
          </w:p>
        </w:tc>
        <w:tc>
          <w:tcPr>
            <w:tcW w:w="1001" w:type="dxa"/>
            <w:tcBorders>
              <w:left w:val="single" w:sz="6" w:space="0" w:color="auto"/>
            </w:tcBorders>
          </w:tcPr>
          <w:p w14:paraId="62F5B108" w14:textId="77777777" w:rsidR="005E6C8C" w:rsidRPr="00CA6574" w:rsidRDefault="005E6C8C" w:rsidP="005E6C8C">
            <w:pPr>
              <w:pStyle w:val="Level111G1"/>
            </w:pPr>
          </w:p>
        </w:tc>
      </w:tr>
      <w:tr w:rsidR="005E6C8C" w:rsidRPr="00CA6574" w14:paraId="0FF5BCF0" w14:textId="77777777">
        <w:trPr>
          <w:cantSplit/>
        </w:trPr>
        <w:tc>
          <w:tcPr>
            <w:tcW w:w="6948" w:type="dxa"/>
          </w:tcPr>
          <w:p w14:paraId="300D2798" w14:textId="77777777" w:rsidR="005E6C8C" w:rsidRPr="00CA6574" w:rsidRDefault="005E6C8C" w:rsidP="005E6C8C">
            <w:pPr>
              <w:pStyle w:val="Level111G1"/>
            </w:pPr>
            <w:r w:rsidRPr="00CA6574">
              <w:tab/>
              <w:t>4.8</w:t>
            </w:r>
            <w:r w:rsidRPr="00CA6574">
              <w:tab/>
              <w:t xml:space="preserve">When negotiations </w:t>
            </w:r>
            <w:r>
              <w:t>conclude</w:t>
            </w:r>
            <w:r w:rsidRPr="00CA6574">
              <w:t>, prepare the final agreement and check to ensure that the document incorporates the transaction as it has been formulated.</w:t>
            </w:r>
          </w:p>
        </w:tc>
        <w:tc>
          <w:tcPr>
            <w:tcW w:w="450" w:type="dxa"/>
            <w:tcBorders>
              <w:left w:val="single" w:sz="6" w:space="0" w:color="auto"/>
            </w:tcBorders>
          </w:tcPr>
          <w:p w14:paraId="03B4D008" w14:textId="77777777" w:rsidR="005E6C8C" w:rsidRPr="00CA6574" w:rsidRDefault="005E6C8C" w:rsidP="005E6C8C">
            <w:pPr>
              <w:pStyle w:val="Level111G1"/>
            </w:pPr>
          </w:p>
        </w:tc>
        <w:tc>
          <w:tcPr>
            <w:tcW w:w="450" w:type="dxa"/>
            <w:tcBorders>
              <w:left w:val="single" w:sz="6" w:space="0" w:color="auto"/>
            </w:tcBorders>
          </w:tcPr>
          <w:p w14:paraId="4A9D8644" w14:textId="77777777" w:rsidR="005E6C8C" w:rsidRPr="00CA6574" w:rsidRDefault="005E6C8C" w:rsidP="005E6C8C">
            <w:pPr>
              <w:pStyle w:val="Level111G1"/>
            </w:pPr>
          </w:p>
        </w:tc>
        <w:tc>
          <w:tcPr>
            <w:tcW w:w="450" w:type="dxa"/>
            <w:tcBorders>
              <w:left w:val="single" w:sz="6" w:space="0" w:color="auto"/>
            </w:tcBorders>
          </w:tcPr>
          <w:p w14:paraId="1834C3DC" w14:textId="77777777" w:rsidR="005E6C8C" w:rsidRPr="00CA6574" w:rsidRDefault="005E6C8C" w:rsidP="005E6C8C">
            <w:pPr>
              <w:pStyle w:val="Level111G1"/>
            </w:pPr>
          </w:p>
        </w:tc>
        <w:tc>
          <w:tcPr>
            <w:tcW w:w="1001" w:type="dxa"/>
            <w:tcBorders>
              <w:left w:val="single" w:sz="6" w:space="0" w:color="auto"/>
            </w:tcBorders>
          </w:tcPr>
          <w:p w14:paraId="3B4A8AA4" w14:textId="77777777" w:rsidR="005E6C8C" w:rsidRPr="00CA6574" w:rsidRDefault="005E6C8C" w:rsidP="005E6C8C">
            <w:pPr>
              <w:pStyle w:val="Level111G1"/>
            </w:pPr>
          </w:p>
        </w:tc>
        <w:tc>
          <w:tcPr>
            <w:tcW w:w="1001" w:type="dxa"/>
            <w:tcBorders>
              <w:left w:val="single" w:sz="6" w:space="0" w:color="auto"/>
            </w:tcBorders>
          </w:tcPr>
          <w:p w14:paraId="35B58680" w14:textId="77777777" w:rsidR="005E6C8C" w:rsidRPr="00CA6574" w:rsidRDefault="005E6C8C" w:rsidP="005E6C8C">
            <w:pPr>
              <w:pStyle w:val="Level111G1"/>
            </w:pPr>
          </w:p>
        </w:tc>
      </w:tr>
      <w:tr w:rsidR="005E6C8C" w:rsidRPr="00CA6574" w14:paraId="64406CD9" w14:textId="77777777" w:rsidTr="003C15C4">
        <w:trPr>
          <w:cantSplit/>
          <w:trHeight w:val="405"/>
        </w:trPr>
        <w:tc>
          <w:tcPr>
            <w:tcW w:w="6948" w:type="dxa"/>
          </w:tcPr>
          <w:p w14:paraId="615DEDE5" w14:textId="3F75C707" w:rsidR="005E6C8C" w:rsidRPr="00CA6574" w:rsidRDefault="005E6C8C" w:rsidP="005E6C8C">
            <w:pPr>
              <w:pStyle w:val="Level111G1"/>
            </w:pPr>
            <w:r w:rsidRPr="00CA6574">
              <w:tab/>
              <w:t>4.9</w:t>
            </w:r>
            <w:r w:rsidRPr="00CA6574">
              <w:tab/>
              <w:t>Arrange for signing</w:t>
            </w:r>
            <w:r>
              <w:t xml:space="preserve"> of</w:t>
            </w:r>
            <w:r w:rsidRPr="00CA6574">
              <w:t xml:space="preserve"> the agreement.</w:t>
            </w:r>
          </w:p>
        </w:tc>
        <w:tc>
          <w:tcPr>
            <w:tcW w:w="450" w:type="dxa"/>
            <w:tcBorders>
              <w:left w:val="single" w:sz="6" w:space="0" w:color="auto"/>
            </w:tcBorders>
          </w:tcPr>
          <w:p w14:paraId="6B7C588F" w14:textId="77777777" w:rsidR="005E6C8C" w:rsidRPr="00CA6574" w:rsidRDefault="005E6C8C" w:rsidP="005E6C8C">
            <w:pPr>
              <w:pStyle w:val="Level111G1"/>
            </w:pPr>
          </w:p>
        </w:tc>
        <w:tc>
          <w:tcPr>
            <w:tcW w:w="450" w:type="dxa"/>
            <w:tcBorders>
              <w:left w:val="single" w:sz="6" w:space="0" w:color="auto"/>
            </w:tcBorders>
          </w:tcPr>
          <w:p w14:paraId="1C5E5525" w14:textId="77777777" w:rsidR="005E6C8C" w:rsidRPr="00CA6574" w:rsidRDefault="005E6C8C" w:rsidP="005E6C8C">
            <w:pPr>
              <w:pStyle w:val="Level111G1"/>
            </w:pPr>
          </w:p>
        </w:tc>
        <w:tc>
          <w:tcPr>
            <w:tcW w:w="450" w:type="dxa"/>
            <w:tcBorders>
              <w:left w:val="single" w:sz="6" w:space="0" w:color="auto"/>
            </w:tcBorders>
          </w:tcPr>
          <w:p w14:paraId="69F53532" w14:textId="77777777" w:rsidR="005E6C8C" w:rsidRPr="00CA6574" w:rsidRDefault="005E6C8C" w:rsidP="005E6C8C">
            <w:pPr>
              <w:pStyle w:val="Level111G1"/>
            </w:pPr>
          </w:p>
        </w:tc>
        <w:tc>
          <w:tcPr>
            <w:tcW w:w="1001" w:type="dxa"/>
            <w:tcBorders>
              <w:left w:val="single" w:sz="6" w:space="0" w:color="auto"/>
            </w:tcBorders>
          </w:tcPr>
          <w:p w14:paraId="7F06A750" w14:textId="77777777" w:rsidR="005E6C8C" w:rsidRPr="00CA6574" w:rsidRDefault="005E6C8C" w:rsidP="005E6C8C">
            <w:pPr>
              <w:pStyle w:val="Level111G1"/>
            </w:pPr>
          </w:p>
        </w:tc>
        <w:tc>
          <w:tcPr>
            <w:tcW w:w="1001" w:type="dxa"/>
            <w:tcBorders>
              <w:left w:val="single" w:sz="6" w:space="0" w:color="auto"/>
            </w:tcBorders>
          </w:tcPr>
          <w:p w14:paraId="3D4D9456" w14:textId="77777777" w:rsidR="005E6C8C" w:rsidRPr="00CA6574" w:rsidRDefault="005E6C8C" w:rsidP="005E6C8C">
            <w:pPr>
              <w:pStyle w:val="Level111G1"/>
            </w:pPr>
          </w:p>
        </w:tc>
      </w:tr>
      <w:tr w:rsidR="005E6C8C" w:rsidRPr="00CA6574" w14:paraId="3807DDE4" w14:textId="77777777">
        <w:trPr>
          <w:cantSplit/>
        </w:trPr>
        <w:tc>
          <w:tcPr>
            <w:tcW w:w="6948" w:type="dxa"/>
          </w:tcPr>
          <w:p w14:paraId="169CB739" w14:textId="77777777" w:rsidR="005E6C8C" w:rsidRPr="00CA6574" w:rsidRDefault="005E6C8C" w:rsidP="005E6C8C">
            <w:pPr>
              <w:pStyle w:val="NumberedheadingGH"/>
            </w:pPr>
            <w:r w:rsidRPr="00CA6574">
              <w:t>5.</w:t>
            </w:r>
            <w:r w:rsidRPr="00CA6574">
              <w:tab/>
              <w:t>PRIOR TO CLOSING</w:t>
            </w:r>
          </w:p>
        </w:tc>
        <w:tc>
          <w:tcPr>
            <w:tcW w:w="450" w:type="dxa"/>
            <w:tcBorders>
              <w:left w:val="single" w:sz="6" w:space="0" w:color="auto"/>
            </w:tcBorders>
          </w:tcPr>
          <w:p w14:paraId="152DB8E3" w14:textId="77777777" w:rsidR="005E6C8C" w:rsidRPr="00CA6574" w:rsidRDefault="005E6C8C" w:rsidP="005E6C8C">
            <w:pPr>
              <w:pStyle w:val="NumberedheadingGH"/>
              <w:jc w:val="center"/>
            </w:pPr>
          </w:p>
        </w:tc>
        <w:tc>
          <w:tcPr>
            <w:tcW w:w="450" w:type="dxa"/>
            <w:tcBorders>
              <w:left w:val="single" w:sz="6" w:space="0" w:color="auto"/>
            </w:tcBorders>
          </w:tcPr>
          <w:p w14:paraId="161A9244" w14:textId="77777777" w:rsidR="005E6C8C" w:rsidRPr="00CA6574" w:rsidRDefault="005E6C8C" w:rsidP="005E6C8C">
            <w:pPr>
              <w:pStyle w:val="NumberedheadingGH"/>
              <w:jc w:val="center"/>
            </w:pPr>
          </w:p>
        </w:tc>
        <w:tc>
          <w:tcPr>
            <w:tcW w:w="450" w:type="dxa"/>
            <w:tcBorders>
              <w:left w:val="single" w:sz="6" w:space="0" w:color="auto"/>
            </w:tcBorders>
          </w:tcPr>
          <w:p w14:paraId="1469FE37" w14:textId="77777777" w:rsidR="005E6C8C" w:rsidRPr="00CA6574" w:rsidRDefault="005E6C8C" w:rsidP="005E6C8C">
            <w:pPr>
              <w:pStyle w:val="NumberedheadingGH"/>
              <w:jc w:val="center"/>
            </w:pPr>
          </w:p>
        </w:tc>
        <w:tc>
          <w:tcPr>
            <w:tcW w:w="1001" w:type="dxa"/>
            <w:tcBorders>
              <w:left w:val="single" w:sz="6" w:space="0" w:color="auto"/>
            </w:tcBorders>
          </w:tcPr>
          <w:p w14:paraId="414A50B5" w14:textId="77777777" w:rsidR="005E6C8C" w:rsidRPr="00CA6574" w:rsidRDefault="005E6C8C" w:rsidP="005E6C8C">
            <w:pPr>
              <w:pStyle w:val="NumberedheadingGH"/>
              <w:jc w:val="center"/>
            </w:pPr>
          </w:p>
        </w:tc>
        <w:tc>
          <w:tcPr>
            <w:tcW w:w="1001" w:type="dxa"/>
            <w:tcBorders>
              <w:left w:val="single" w:sz="6" w:space="0" w:color="auto"/>
            </w:tcBorders>
          </w:tcPr>
          <w:p w14:paraId="5B070997" w14:textId="77777777" w:rsidR="005E6C8C" w:rsidRPr="00CA6574" w:rsidRDefault="005E6C8C" w:rsidP="005E6C8C">
            <w:pPr>
              <w:pStyle w:val="NumberedheadingGH"/>
              <w:jc w:val="center"/>
            </w:pPr>
          </w:p>
        </w:tc>
      </w:tr>
      <w:tr w:rsidR="005E6C8C" w:rsidRPr="00CA6574" w14:paraId="5B6AECE3" w14:textId="77777777">
        <w:trPr>
          <w:cantSplit/>
        </w:trPr>
        <w:tc>
          <w:tcPr>
            <w:tcW w:w="6948" w:type="dxa"/>
          </w:tcPr>
          <w:p w14:paraId="20D84D38" w14:textId="77777777" w:rsidR="005E6C8C" w:rsidRPr="00CA6574" w:rsidRDefault="005E6C8C" w:rsidP="005E6C8C">
            <w:pPr>
              <w:pStyle w:val="Level111G1"/>
            </w:pPr>
            <w:r w:rsidRPr="00CA6574">
              <w:tab/>
              <w:t>5.1</w:t>
            </w:r>
            <w:r w:rsidRPr="00CA6574">
              <w:tab/>
              <w:t xml:space="preserve">Prepare or obtain all the necessary documentation (consult the </w:t>
            </w:r>
            <w:r w:rsidRPr="00CA6574">
              <w:rPr>
                <w:smallCaps/>
              </w:rPr>
              <w:t>share purchase agreement</w:t>
            </w:r>
            <w:r w:rsidRPr="00CA6574">
              <w:t xml:space="preserve"> </w:t>
            </w:r>
            <w:r w:rsidRPr="00CA6574">
              <w:rPr>
                <w:smallCaps/>
              </w:rPr>
              <w:t>drafting</w:t>
            </w:r>
            <w:r w:rsidRPr="00CA6574">
              <w:t xml:space="preserve"> (B-4) checklist for additional considerations), including:</w:t>
            </w:r>
          </w:p>
        </w:tc>
        <w:tc>
          <w:tcPr>
            <w:tcW w:w="450" w:type="dxa"/>
            <w:tcBorders>
              <w:left w:val="single" w:sz="6" w:space="0" w:color="auto"/>
            </w:tcBorders>
          </w:tcPr>
          <w:p w14:paraId="25172B92" w14:textId="77777777" w:rsidR="005E6C8C" w:rsidRPr="00CA6574" w:rsidRDefault="005E6C8C" w:rsidP="005E6C8C">
            <w:pPr>
              <w:pStyle w:val="Level111G1"/>
            </w:pPr>
          </w:p>
        </w:tc>
        <w:tc>
          <w:tcPr>
            <w:tcW w:w="450" w:type="dxa"/>
            <w:tcBorders>
              <w:left w:val="single" w:sz="6" w:space="0" w:color="auto"/>
            </w:tcBorders>
          </w:tcPr>
          <w:p w14:paraId="04EF4BCC" w14:textId="77777777" w:rsidR="005E6C8C" w:rsidRPr="00CA6574" w:rsidRDefault="005E6C8C" w:rsidP="005E6C8C">
            <w:pPr>
              <w:pStyle w:val="Level111G1"/>
            </w:pPr>
          </w:p>
        </w:tc>
        <w:tc>
          <w:tcPr>
            <w:tcW w:w="450" w:type="dxa"/>
            <w:tcBorders>
              <w:left w:val="single" w:sz="6" w:space="0" w:color="auto"/>
            </w:tcBorders>
          </w:tcPr>
          <w:p w14:paraId="6B3B76B9" w14:textId="77777777" w:rsidR="005E6C8C" w:rsidRPr="00CA6574" w:rsidRDefault="005E6C8C" w:rsidP="005E6C8C">
            <w:pPr>
              <w:pStyle w:val="Level111G1"/>
            </w:pPr>
          </w:p>
        </w:tc>
        <w:tc>
          <w:tcPr>
            <w:tcW w:w="1001" w:type="dxa"/>
            <w:tcBorders>
              <w:left w:val="single" w:sz="6" w:space="0" w:color="auto"/>
            </w:tcBorders>
          </w:tcPr>
          <w:p w14:paraId="63467816" w14:textId="77777777" w:rsidR="005E6C8C" w:rsidRPr="00CA6574" w:rsidRDefault="005E6C8C" w:rsidP="005E6C8C">
            <w:pPr>
              <w:pStyle w:val="Level111G1"/>
            </w:pPr>
          </w:p>
        </w:tc>
        <w:tc>
          <w:tcPr>
            <w:tcW w:w="1001" w:type="dxa"/>
            <w:tcBorders>
              <w:left w:val="single" w:sz="6" w:space="0" w:color="auto"/>
            </w:tcBorders>
          </w:tcPr>
          <w:p w14:paraId="2179DEF4" w14:textId="77777777" w:rsidR="005E6C8C" w:rsidRPr="00CA6574" w:rsidRDefault="005E6C8C" w:rsidP="005E6C8C">
            <w:pPr>
              <w:pStyle w:val="Level111G1"/>
            </w:pPr>
          </w:p>
        </w:tc>
      </w:tr>
      <w:tr w:rsidR="005E6C8C" w:rsidRPr="00CA6574" w14:paraId="0E38A206" w14:textId="77777777" w:rsidTr="006668A3">
        <w:trPr>
          <w:cantSplit/>
          <w:trHeight w:val="972"/>
        </w:trPr>
        <w:tc>
          <w:tcPr>
            <w:tcW w:w="6948" w:type="dxa"/>
          </w:tcPr>
          <w:p w14:paraId="300EADC9" w14:textId="596CD93D" w:rsidR="005E6C8C" w:rsidRPr="00CA6574" w:rsidRDefault="005E6C8C" w:rsidP="005E6C8C">
            <w:pPr>
              <w:pStyle w:val="Level2"/>
              <w:spacing w:before="60"/>
            </w:pPr>
            <w:r w:rsidRPr="00CA6574">
              <w:tab/>
              <w:t>.1</w:t>
            </w:r>
            <w:r w:rsidRPr="00CA6574">
              <w:tab/>
              <w:t xml:space="preserve">Notices, applications for review, or rulings pursuant to the </w:t>
            </w:r>
            <w:r w:rsidRPr="00CA6574">
              <w:rPr>
                <w:rStyle w:val="Italics"/>
                <w:rFonts w:ascii="Times New Roman" w:hAnsi="Times New Roman"/>
              </w:rPr>
              <w:t>Investment Canada Act</w:t>
            </w:r>
            <w:r w:rsidRPr="00CA6574">
              <w:t xml:space="preserve">, the </w:t>
            </w:r>
            <w:r w:rsidRPr="00CA6574">
              <w:rPr>
                <w:rStyle w:val="Italics"/>
                <w:rFonts w:ascii="Times New Roman" w:hAnsi="Times New Roman"/>
              </w:rPr>
              <w:t>Competition Act,</w:t>
            </w:r>
            <w:r w:rsidRPr="00CA6574">
              <w:t xml:space="preserve"> and any other relevant legislation. Consider applying for an advance ruling certificate under the </w:t>
            </w:r>
            <w:r w:rsidRPr="00CA6574">
              <w:rPr>
                <w:i/>
              </w:rPr>
              <w:t>Competition Act</w:t>
            </w:r>
            <w:r w:rsidRPr="00CA6574">
              <w:t>.</w:t>
            </w:r>
          </w:p>
        </w:tc>
        <w:tc>
          <w:tcPr>
            <w:tcW w:w="450" w:type="dxa"/>
            <w:tcBorders>
              <w:left w:val="single" w:sz="6" w:space="0" w:color="auto"/>
            </w:tcBorders>
          </w:tcPr>
          <w:p w14:paraId="3E2DD262" w14:textId="77777777" w:rsidR="005E6C8C" w:rsidRPr="00CA6574" w:rsidRDefault="005E6C8C" w:rsidP="005E6C8C">
            <w:pPr>
              <w:pStyle w:val="Level2"/>
            </w:pPr>
          </w:p>
        </w:tc>
        <w:tc>
          <w:tcPr>
            <w:tcW w:w="450" w:type="dxa"/>
            <w:tcBorders>
              <w:left w:val="single" w:sz="6" w:space="0" w:color="auto"/>
            </w:tcBorders>
          </w:tcPr>
          <w:p w14:paraId="7EECD5AF" w14:textId="77777777" w:rsidR="005E6C8C" w:rsidRPr="00CA6574" w:rsidRDefault="005E6C8C" w:rsidP="005E6C8C">
            <w:pPr>
              <w:pStyle w:val="Level2"/>
            </w:pPr>
          </w:p>
        </w:tc>
        <w:tc>
          <w:tcPr>
            <w:tcW w:w="450" w:type="dxa"/>
            <w:tcBorders>
              <w:left w:val="single" w:sz="6" w:space="0" w:color="auto"/>
            </w:tcBorders>
          </w:tcPr>
          <w:p w14:paraId="5ECEA3D7" w14:textId="77777777" w:rsidR="005E6C8C" w:rsidRPr="00CA6574" w:rsidRDefault="005E6C8C" w:rsidP="005E6C8C">
            <w:pPr>
              <w:pStyle w:val="Level2"/>
            </w:pPr>
          </w:p>
        </w:tc>
        <w:tc>
          <w:tcPr>
            <w:tcW w:w="1001" w:type="dxa"/>
            <w:tcBorders>
              <w:left w:val="single" w:sz="6" w:space="0" w:color="auto"/>
            </w:tcBorders>
          </w:tcPr>
          <w:p w14:paraId="38706651" w14:textId="77777777" w:rsidR="005E6C8C" w:rsidRPr="00CA6574" w:rsidRDefault="005E6C8C" w:rsidP="005E6C8C">
            <w:pPr>
              <w:pStyle w:val="Level2"/>
            </w:pPr>
          </w:p>
        </w:tc>
        <w:tc>
          <w:tcPr>
            <w:tcW w:w="1001" w:type="dxa"/>
            <w:tcBorders>
              <w:left w:val="single" w:sz="6" w:space="0" w:color="auto"/>
            </w:tcBorders>
          </w:tcPr>
          <w:p w14:paraId="4B120AE4" w14:textId="77777777" w:rsidR="005E6C8C" w:rsidRPr="00CA6574" w:rsidRDefault="005E6C8C" w:rsidP="005E6C8C">
            <w:pPr>
              <w:pStyle w:val="Level2"/>
            </w:pPr>
          </w:p>
        </w:tc>
      </w:tr>
      <w:tr w:rsidR="005E6C8C" w:rsidRPr="00CA6574" w14:paraId="78FF2717" w14:textId="77777777" w:rsidTr="005869AF">
        <w:trPr>
          <w:cantSplit/>
          <w:trHeight w:val="72"/>
        </w:trPr>
        <w:tc>
          <w:tcPr>
            <w:tcW w:w="6948" w:type="dxa"/>
          </w:tcPr>
          <w:p w14:paraId="2DAC87D0" w14:textId="77777777" w:rsidR="005E6C8C" w:rsidRPr="00CA6574" w:rsidRDefault="005E6C8C" w:rsidP="005E6C8C">
            <w:pPr>
              <w:pStyle w:val="Level2"/>
            </w:pPr>
            <w:r w:rsidRPr="00CA6574">
              <w:tab/>
              <w:t>.2</w:t>
            </w:r>
            <w:r w:rsidRPr="00CA6574">
              <w:tab/>
              <w:t>A directors’ resolution of the target company authorizing the transfer of shares.</w:t>
            </w:r>
          </w:p>
        </w:tc>
        <w:tc>
          <w:tcPr>
            <w:tcW w:w="450" w:type="dxa"/>
            <w:tcBorders>
              <w:left w:val="single" w:sz="6" w:space="0" w:color="auto"/>
            </w:tcBorders>
          </w:tcPr>
          <w:p w14:paraId="4EE302EA" w14:textId="77777777" w:rsidR="005E6C8C" w:rsidRPr="00CA6574" w:rsidRDefault="005E6C8C" w:rsidP="005E6C8C">
            <w:pPr>
              <w:pStyle w:val="Level2"/>
            </w:pPr>
          </w:p>
        </w:tc>
        <w:tc>
          <w:tcPr>
            <w:tcW w:w="450" w:type="dxa"/>
            <w:tcBorders>
              <w:left w:val="single" w:sz="6" w:space="0" w:color="auto"/>
            </w:tcBorders>
          </w:tcPr>
          <w:p w14:paraId="75F3A85E" w14:textId="77777777" w:rsidR="005E6C8C" w:rsidRPr="00CA6574" w:rsidRDefault="005E6C8C" w:rsidP="005E6C8C">
            <w:pPr>
              <w:pStyle w:val="Level2"/>
            </w:pPr>
          </w:p>
        </w:tc>
        <w:tc>
          <w:tcPr>
            <w:tcW w:w="450" w:type="dxa"/>
            <w:tcBorders>
              <w:left w:val="single" w:sz="6" w:space="0" w:color="auto"/>
            </w:tcBorders>
          </w:tcPr>
          <w:p w14:paraId="1F8F046E" w14:textId="77777777" w:rsidR="005E6C8C" w:rsidRPr="00CA6574" w:rsidRDefault="005E6C8C" w:rsidP="005E6C8C">
            <w:pPr>
              <w:pStyle w:val="Level2"/>
            </w:pPr>
          </w:p>
        </w:tc>
        <w:tc>
          <w:tcPr>
            <w:tcW w:w="1001" w:type="dxa"/>
            <w:tcBorders>
              <w:left w:val="single" w:sz="6" w:space="0" w:color="auto"/>
            </w:tcBorders>
          </w:tcPr>
          <w:p w14:paraId="4CA9A130" w14:textId="77777777" w:rsidR="005E6C8C" w:rsidRPr="00CA6574" w:rsidRDefault="005E6C8C" w:rsidP="005E6C8C">
            <w:pPr>
              <w:pStyle w:val="Level2"/>
            </w:pPr>
          </w:p>
        </w:tc>
        <w:tc>
          <w:tcPr>
            <w:tcW w:w="1001" w:type="dxa"/>
            <w:tcBorders>
              <w:left w:val="single" w:sz="6" w:space="0" w:color="auto"/>
            </w:tcBorders>
          </w:tcPr>
          <w:p w14:paraId="2299953E" w14:textId="77777777" w:rsidR="005E6C8C" w:rsidRPr="00CA6574" w:rsidRDefault="005E6C8C" w:rsidP="005E6C8C">
            <w:pPr>
              <w:pStyle w:val="Level2"/>
            </w:pPr>
          </w:p>
        </w:tc>
      </w:tr>
      <w:tr w:rsidR="005E6C8C" w:rsidRPr="00CA6574" w14:paraId="32AC8379" w14:textId="77777777" w:rsidTr="007B15B4">
        <w:trPr>
          <w:cantSplit/>
          <w:trHeight w:val="702"/>
        </w:trPr>
        <w:tc>
          <w:tcPr>
            <w:tcW w:w="6948" w:type="dxa"/>
          </w:tcPr>
          <w:p w14:paraId="6F8B86B4" w14:textId="77777777" w:rsidR="005E6C8C" w:rsidRPr="00CA6574" w:rsidRDefault="005E6C8C" w:rsidP="005E6C8C">
            <w:pPr>
              <w:pStyle w:val="Level2"/>
            </w:pPr>
            <w:r w:rsidRPr="00CA6574">
              <w:tab/>
              <w:t>.3</w:t>
            </w:r>
            <w:r w:rsidRPr="00CA6574">
              <w:tab/>
              <w:t xml:space="preserve">A certificate pursuant to </w:t>
            </w:r>
            <w:r w:rsidRPr="00CA6574">
              <w:rPr>
                <w:rStyle w:val="Italics"/>
                <w:rFonts w:ascii="Times New Roman" w:hAnsi="Times New Roman"/>
              </w:rPr>
              <w:t>Income Tax Act</w:t>
            </w:r>
            <w:r w:rsidRPr="00CA6574">
              <w:rPr>
                <w:rStyle w:val="Italics"/>
                <w:rFonts w:ascii="Times New Roman" w:hAnsi="Times New Roman"/>
                <w:i w:val="0"/>
                <w:iCs/>
              </w:rPr>
              <w:t xml:space="preserve">, R.S.C. 1985, </w:t>
            </w:r>
            <w:r w:rsidRPr="00CA6574">
              <w:t xml:space="preserve">c. 1 (5th Supp.), s. 116, </w:t>
            </w:r>
            <w:r>
              <w:t xml:space="preserve">(regarding tax to be withheld by purchaser </w:t>
            </w:r>
            <w:r w:rsidRPr="00CA6574">
              <w:t xml:space="preserve">if the vendor is </w:t>
            </w:r>
            <w:r>
              <w:t xml:space="preserve">not a resident of Canada). </w:t>
            </w:r>
          </w:p>
        </w:tc>
        <w:tc>
          <w:tcPr>
            <w:tcW w:w="450" w:type="dxa"/>
            <w:tcBorders>
              <w:left w:val="single" w:sz="6" w:space="0" w:color="auto"/>
            </w:tcBorders>
          </w:tcPr>
          <w:p w14:paraId="56BB9010" w14:textId="77777777" w:rsidR="005E6C8C" w:rsidRPr="00CA6574" w:rsidRDefault="005E6C8C" w:rsidP="005E6C8C">
            <w:pPr>
              <w:pStyle w:val="Level2"/>
            </w:pPr>
          </w:p>
        </w:tc>
        <w:tc>
          <w:tcPr>
            <w:tcW w:w="450" w:type="dxa"/>
            <w:tcBorders>
              <w:left w:val="single" w:sz="6" w:space="0" w:color="auto"/>
            </w:tcBorders>
          </w:tcPr>
          <w:p w14:paraId="7492AC92" w14:textId="77777777" w:rsidR="005E6C8C" w:rsidRPr="00CA6574" w:rsidRDefault="005E6C8C" w:rsidP="005E6C8C">
            <w:pPr>
              <w:pStyle w:val="Level2"/>
            </w:pPr>
          </w:p>
        </w:tc>
        <w:tc>
          <w:tcPr>
            <w:tcW w:w="450" w:type="dxa"/>
            <w:tcBorders>
              <w:left w:val="single" w:sz="6" w:space="0" w:color="auto"/>
            </w:tcBorders>
          </w:tcPr>
          <w:p w14:paraId="39F3596C" w14:textId="77777777" w:rsidR="005E6C8C" w:rsidRPr="00CA6574" w:rsidRDefault="005E6C8C" w:rsidP="005E6C8C">
            <w:pPr>
              <w:pStyle w:val="Level2"/>
            </w:pPr>
          </w:p>
        </w:tc>
        <w:tc>
          <w:tcPr>
            <w:tcW w:w="1001" w:type="dxa"/>
            <w:tcBorders>
              <w:left w:val="single" w:sz="6" w:space="0" w:color="auto"/>
            </w:tcBorders>
          </w:tcPr>
          <w:p w14:paraId="47BA4BCA" w14:textId="77777777" w:rsidR="005E6C8C" w:rsidRPr="00CA6574" w:rsidRDefault="005E6C8C" w:rsidP="005E6C8C">
            <w:pPr>
              <w:pStyle w:val="Level2"/>
            </w:pPr>
          </w:p>
        </w:tc>
        <w:tc>
          <w:tcPr>
            <w:tcW w:w="1001" w:type="dxa"/>
            <w:tcBorders>
              <w:left w:val="single" w:sz="6" w:space="0" w:color="auto"/>
            </w:tcBorders>
          </w:tcPr>
          <w:p w14:paraId="50FA7021" w14:textId="77777777" w:rsidR="005E6C8C" w:rsidRPr="00CA6574" w:rsidRDefault="005E6C8C" w:rsidP="005E6C8C">
            <w:pPr>
              <w:pStyle w:val="Level2"/>
            </w:pPr>
          </w:p>
        </w:tc>
      </w:tr>
      <w:tr w:rsidR="005E6C8C" w:rsidRPr="00CA6574" w14:paraId="028BA7F5" w14:textId="77777777" w:rsidTr="005869AF">
        <w:trPr>
          <w:cantSplit/>
          <w:trHeight w:val="72"/>
        </w:trPr>
        <w:tc>
          <w:tcPr>
            <w:tcW w:w="6948" w:type="dxa"/>
          </w:tcPr>
          <w:p w14:paraId="1F3C7880" w14:textId="77777777" w:rsidR="005E6C8C" w:rsidRPr="00CA6574" w:rsidRDefault="005E6C8C" w:rsidP="005E6C8C">
            <w:pPr>
              <w:pStyle w:val="Level2"/>
            </w:pPr>
            <w:r w:rsidRPr="00CA6574">
              <w:tab/>
              <w:t>.4</w:t>
            </w:r>
            <w:r w:rsidRPr="00CA6574">
              <w:tab/>
              <w:t xml:space="preserve">A directors’ resolution of the purchaser (if a company) authorizing the transaction. </w:t>
            </w:r>
          </w:p>
        </w:tc>
        <w:tc>
          <w:tcPr>
            <w:tcW w:w="450" w:type="dxa"/>
            <w:tcBorders>
              <w:left w:val="single" w:sz="6" w:space="0" w:color="auto"/>
            </w:tcBorders>
          </w:tcPr>
          <w:p w14:paraId="6DE77B2C" w14:textId="77777777" w:rsidR="005E6C8C" w:rsidRPr="00CA6574" w:rsidRDefault="005E6C8C" w:rsidP="005E6C8C">
            <w:pPr>
              <w:pStyle w:val="Level2"/>
            </w:pPr>
          </w:p>
        </w:tc>
        <w:tc>
          <w:tcPr>
            <w:tcW w:w="450" w:type="dxa"/>
            <w:tcBorders>
              <w:left w:val="single" w:sz="6" w:space="0" w:color="auto"/>
            </w:tcBorders>
          </w:tcPr>
          <w:p w14:paraId="646D3B6C" w14:textId="77777777" w:rsidR="005E6C8C" w:rsidRPr="00CA6574" w:rsidRDefault="005E6C8C" w:rsidP="005E6C8C">
            <w:pPr>
              <w:pStyle w:val="Level2"/>
            </w:pPr>
          </w:p>
        </w:tc>
        <w:tc>
          <w:tcPr>
            <w:tcW w:w="450" w:type="dxa"/>
            <w:tcBorders>
              <w:left w:val="single" w:sz="6" w:space="0" w:color="auto"/>
            </w:tcBorders>
          </w:tcPr>
          <w:p w14:paraId="4D8D826A" w14:textId="77777777" w:rsidR="005E6C8C" w:rsidRPr="00CA6574" w:rsidRDefault="005E6C8C" w:rsidP="005E6C8C">
            <w:pPr>
              <w:pStyle w:val="Level2"/>
            </w:pPr>
          </w:p>
        </w:tc>
        <w:tc>
          <w:tcPr>
            <w:tcW w:w="1001" w:type="dxa"/>
            <w:tcBorders>
              <w:left w:val="single" w:sz="6" w:space="0" w:color="auto"/>
            </w:tcBorders>
          </w:tcPr>
          <w:p w14:paraId="48D0F0BA" w14:textId="77777777" w:rsidR="005E6C8C" w:rsidRPr="00CA6574" w:rsidRDefault="005E6C8C" w:rsidP="005E6C8C">
            <w:pPr>
              <w:pStyle w:val="Level2"/>
            </w:pPr>
          </w:p>
        </w:tc>
        <w:tc>
          <w:tcPr>
            <w:tcW w:w="1001" w:type="dxa"/>
            <w:tcBorders>
              <w:left w:val="single" w:sz="6" w:space="0" w:color="auto"/>
            </w:tcBorders>
          </w:tcPr>
          <w:p w14:paraId="12AFEFB5" w14:textId="77777777" w:rsidR="005E6C8C" w:rsidRPr="00CA6574" w:rsidRDefault="005E6C8C" w:rsidP="005E6C8C">
            <w:pPr>
              <w:pStyle w:val="Level2"/>
            </w:pPr>
          </w:p>
        </w:tc>
      </w:tr>
      <w:tr w:rsidR="005E6C8C" w:rsidRPr="00CA6574" w14:paraId="697BD4D5" w14:textId="77777777" w:rsidTr="00E70FC8">
        <w:trPr>
          <w:cantSplit/>
          <w:trHeight w:val="1638"/>
        </w:trPr>
        <w:tc>
          <w:tcPr>
            <w:tcW w:w="6948" w:type="dxa"/>
          </w:tcPr>
          <w:p w14:paraId="42B71422" w14:textId="77777777" w:rsidR="005E6C8C" w:rsidRPr="00CA6574" w:rsidRDefault="005E6C8C" w:rsidP="005E6C8C">
            <w:pPr>
              <w:pStyle w:val="Level2"/>
            </w:pPr>
            <w:r w:rsidRPr="00CA6574">
              <w:tab/>
              <w:t>.5</w:t>
            </w:r>
            <w:r w:rsidRPr="00CA6574">
              <w:tab/>
              <w:t>If the vendor is a company, a director’s resolution of the vendor authorizing the transaction; plus, if the shares of the target company represent substantially all of the assets of the vendor, a special resolution of the shareholders of the vendor authorizing the transaction.</w:t>
            </w:r>
          </w:p>
        </w:tc>
        <w:tc>
          <w:tcPr>
            <w:tcW w:w="450" w:type="dxa"/>
            <w:tcBorders>
              <w:left w:val="single" w:sz="6" w:space="0" w:color="auto"/>
            </w:tcBorders>
          </w:tcPr>
          <w:p w14:paraId="048C23B1" w14:textId="77777777" w:rsidR="005E6C8C" w:rsidRPr="00CA6574" w:rsidRDefault="005E6C8C" w:rsidP="005E6C8C">
            <w:pPr>
              <w:pStyle w:val="Level2"/>
            </w:pPr>
          </w:p>
        </w:tc>
        <w:tc>
          <w:tcPr>
            <w:tcW w:w="450" w:type="dxa"/>
            <w:tcBorders>
              <w:left w:val="single" w:sz="6" w:space="0" w:color="auto"/>
            </w:tcBorders>
          </w:tcPr>
          <w:p w14:paraId="0F41DE6C" w14:textId="77777777" w:rsidR="005E6C8C" w:rsidRPr="00CA6574" w:rsidRDefault="005E6C8C" w:rsidP="005E6C8C">
            <w:pPr>
              <w:pStyle w:val="Level2"/>
            </w:pPr>
          </w:p>
        </w:tc>
        <w:tc>
          <w:tcPr>
            <w:tcW w:w="450" w:type="dxa"/>
            <w:tcBorders>
              <w:left w:val="single" w:sz="6" w:space="0" w:color="auto"/>
            </w:tcBorders>
          </w:tcPr>
          <w:p w14:paraId="6CFE93A6" w14:textId="77777777" w:rsidR="005E6C8C" w:rsidRPr="00CA6574" w:rsidRDefault="005E6C8C" w:rsidP="005E6C8C">
            <w:pPr>
              <w:pStyle w:val="Level2"/>
            </w:pPr>
          </w:p>
        </w:tc>
        <w:tc>
          <w:tcPr>
            <w:tcW w:w="1001" w:type="dxa"/>
            <w:tcBorders>
              <w:left w:val="single" w:sz="6" w:space="0" w:color="auto"/>
            </w:tcBorders>
          </w:tcPr>
          <w:p w14:paraId="7D732CE7" w14:textId="77777777" w:rsidR="005E6C8C" w:rsidRPr="00CA6574" w:rsidRDefault="005E6C8C" w:rsidP="005E6C8C">
            <w:pPr>
              <w:pStyle w:val="Level2"/>
            </w:pPr>
          </w:p>
        </w:tc>
        <w:tc>
          <w:tcPr>
            <w:tcW w:w="1001" w:type="dxa"/>
            <w:tcBorders>
              <w:left w:val="single" w:sz="6" w:space="0" w:color="auto"/>
            </w:tcBorders>
          </w:tcPr>
          <w:p w14:paraId="468EA5CF" w14:textId="77777777" w:rsidR="005E6C8C" w:rsidRPr="00CA6574" w:rsidRDefault="005E6C8C" w:rsidP="005E6C8C">
            <w:pPr>
              <w:pStyle w:val="Level2"/>
            </w:pPr>
          </w:p>
        </w:tc>
      </w:tr>
      <w:tr w:rsidR="005E6C8C" w:rsidRPr="00CA6574" w14:paraId="19368F62" w14:textId="77777777" w:rsidTr="005869AF">
        <w:trPr>
          <w:cantSplit/>
          <w:trHeight w:val="63"/>
        </w:trPr>
        <w:tc>
          <w:tcPr>
            <w:tcW w:w="6948" w:type="dxa"/>
          </w:tcPr>
          <w:p w14:paraId="4EA0D907" w14:textId="4A7031D8" w:rsidR="005E6C8C" w:rsidRPr="00CA6574" w:rsidRDefault="005E6C8C" w:rsidP="005E6C8C">
            <w:pPr>
              <w:pStyle w:val="Level2"/>
            </w:pPr>
            <w:r w:rsidRPr="00CA6574">
              <w:lastRenderedPageBreak/>
              <w:tab/>
              <w:t>.6</w:t>
            </w:r>
            <w:r w:rsidRPr="00CA6574">
              <w:tab/>
              <w:t>Share register of the target company to show the transfer, issuance of new shares, and cancellation of old shares.</w:t>
            </w:r>
            <w:r>
              <w:t xml:space="preserve"> Updated transparency register (see “New developments” in this checklist regarding federal and provincial requirements for transparency registers).</w:t>
            </w:r>
          </w:p>
        </w:tc>
        <w:tc>
          <w:tcPr>
            <w:tcW w:w="450" w:type="dxa"/>
            <w:tcBorders>
              <w:left w:val="single" w:sz="6" w:space="0" w:color="auto"/>
            </w:tcBorders>
          </w:tcPr>
          <w:p w14:paraId="0BB2BFBB" w14:textId="77777777" w:rsidR="005E6C8C" w:rsidRPr="00CA6574" w:rsidRDefault="005E6C8C" w:rsidP="005E6C8C">
            <w:pPr>
              <w:pStyle w:val="Level2"/>
            </w:pPr>
          </w:p>
        </w:tc>
        <w:tc>
          <w:tcPr>
            <w:tcW w:w="450" w:type="dxa"/>
            <w:tcBorders>
              <w:left w:val="single" w:sz="6" w:space="0" w:color="auto"/>
            </w:tcBorders>
          </w:tcPr>
          <w:p w14:paraId="637228C5" w14:textId="77777777" w:rsidR="005E6C8C" w:rsidRPr="00CA6574" w:rsidRDefault="005E6C8C" w:rsidP="005E6C8C">
            <w:pPr>
              <w:pStyle w:val="Level2"/>
            </w:pPr>
          </w:p>
        </w:tc>
        <w:tc>
          <w:tcPr>
            <w:tcW w:w="450" w:type="dxa"/>
            <w:tcBorders>
              <w:left w:val="single" w:sz="6" w:space="0" w:color="auto"/>
            </w:tcBorders>
          </w:tcPr>
          <w:p w14:paraId="2D93047B" w14:textId="77777777" w:rsidR="005E6C8C" w:rsidRPr="00CA6574" w:rsidRDefault="005E6C8C" w:rsidP="005E6C8C">
            <w:pPr>
              <w:pStyle w:val="Level2"/>
            </w:pPr>
          </w:p>
        </w:tc>
        <w:tc>
          <w:tcPr>
            <w:tcW w:w="1001" w:type="dxa"/>
            <w:tcBorders>
              <w:left w:val="single" w:sz="6" w:space="0" w:color="auto"/>
            </w:tcBorders>
          </w:tcPr>
          <w:p w14:paraId="7C1FA045" w14:textId="77777777" w:rsidR="005E6C8C" w:rsidRPr="00CA6574" w:rsidRDefault="005E6C8C" w:rsidP="005E6C8C">
            <w:pPr>
              <w:pStyle w:val="Level2"/>
            </w:pPr>
          </w:p>
        </w:tc>
        <w:tc>
          <w:tcPr>
            <w:tcW w:w="1001" w:type="dxa"/>
            <w:tcBorders>
              <w:left w:val="single" w:sz="6" w:space="0" w:color="auto"/>
            </w:tcBorders>
          </w:tcPr>
          <w:p w14:paraId="6454831B" w14:textId="77777777" w:rsidR="005E6C8C" w:rsidRPr="00CA6574" w:rsidRDefault="005E6C8C" w:rsidP="005E6C8C">
            <w:pPr>
              <w:pStyle w:val="Level2"/>
            </w:pPr>
          </w:p>
        </w:tc>
      </w:tr>
      <w:tr w:rsidR="005E6C8C" w:rsidRPr="00CA6574" w14:paraId="722E7FCC" w14:textId="77777777" w:rsidTr="00A30C1A">
        <w:trPr>
          <w:cantSplit/>
          <w:trHeight w:val="117"/>
        </w:trPr>
        <w:tc>
          <w:tcPr>
            <w:tcW w:w="6948" w:type="dxa"/>
          </w:tcPr>
          <w:p w14:paraId="5D275DA5" w14:textId="77777777" w:rsidR="005E6C8C" w:rsidRPr="00CA6574" w:rsidRDefault="005E6C8C" w:rsidP="005E6C8C">
            <w:pPr>
              <w:pStyle w:val="Level2"/>
            </w:pPr>
            <w:r w:rsidRPr="00CA6574">
              <w:tab/>
              <w:t>.7</w:t>
            </w:r>
            <w:r w:rsidRPr="00CA6574">
              <w:tab/>
              <w:t>Waivers of any pre-emptive rights or rights of first refusal.</w:t>
            </w:r>
          </w:p>
        </w:tc>
        <w:tc>
          <w:tcPr>
            <w:tcW w:w="450" w:type="dxa"/>
            <w:tcBorders>
              <w:left w:val="single" w:sz="6" w:space="0" w:color="auto"/>
            </w:tcBorders>
          </w:tcPr>
          <w:p w14:paraId="4A4061E0" w14:textId="77777777" w:rsidR="005E6C8C" w:rsidRPr="00CA6574" w:rsidRDefault="005E6C8C" w:rsidP="005E6C8C">
            <w:pPr>
              <w:pStyle w:val="Level2"/>
            </w:pPr>
          </w:p>
        </w:tc>
        <w:tc>
          <w:tcPr>
            <w:tcW w:w="450" w:type="dxa"/>
            <w:tcBorders>
              <w:left w:val="single" w:sz="6" w:space="0" w:color="auto"/>
            </w:tcBorders>
          </w:tcPr>
          <w:p w14:paraId="22F7AD89" w14:textId="77777777" w:rsidR="005E6C8C" w:rsidRPr="00CA6574" w:rsidRDefault="005E6C8C" w:rsidP="005E6C8C">
            <w:pPr>
              <w:pStyle w:val="Level2"/>
            </w:pPr>
          </w:p>
        </w:tc>
        <w:tc>
          <w:tcPr>
            <w:tcW w:w="450" w:type="dxa"/>
            <w:tcBorders>
              <w:left w:val="single" w:sz="6" w:space="0" w:color="auto"/>
            </w:tcBorders>
          </w:tcPr>
          <w:p w14:paraId="12C92E79" w14:textId="77777777" w:rsidR="005E6C8C" w:rsidRPr="00CA6574" w:rsidRDefault="005E6C8C" w:rsidP="005E6C8C">
            <w:pPr>
              <w:pStyle w:val="Level2"/>
            </w:pPr>
          </w:p>
        </w:tc>
        <w:tc>
          <w:tcPr>
            <w:tcW w:w="1001" w:type="dxa"/>
            <w:tcBorders>
              <w:left w:val="single" w:sz="6" w:space="0" w:color="auto"/>
            </w:tcBorders>
          </w:tcPr>
          <w:p w14:paraId="4B08994B" w14:textId="77777777" w:rsidR="005E6C8C" w:rsidRPr="00CA6574" w:rsidRDefault="005E6C8C" w:rsidP="005E6C8C">
            <w:pPr>
              <w:pStyle w:val="Level2"/>
            </w:pPr>
          </w:p>
        </w:tc>
        <w:tc>
          <w:tcPr>
            <w:tcW w:w="1001" w:type="dxa"/>
            <w:tcBorders>
              <w:left w:val="single" w:sz="6" w:space="0" w:color="auto"/>
            </w:tcBorders>
          </w:tcPr>
          <w:p w14:paraId="23EDBB13" w14:textId="77777777" w:rsidR="005E6C8C" w:rsidRPr="00CA6574" w:rsidRDefault="005E6C8C" w:rsidP="005E6C8C">
            <w:pPr>
              <w:pStyle w:val="Level2"/>
            </w:pPr>
          </w:p>
        </w:tc>
      </w:tr>
      <w:tr w:rsidR="005E6C8C" w:rsidRPr="00CA6574" w14:paraId="64F73019" w14:textId="77777777">
        <w:trPr>
          <w:cantSplit/>
        </w:trPr>
        <w:tc>
          <w:tcPr>
            <w:tcW w:w="6948" w:type="dxa"/>
          </w:tcPr>
          <w:p w14:paraId="7CE9A247" w14:textId="4D35060E" w:rsidR="005E6C8C" w:rsidRPr="00CA6574" w:rsidRDefault="005E6C8C" w:rsidP="000A68BE">
            <w:pPr>
              <w:pStyle w:val="Level2"/>
            </w:pPr>
            <w:r w:rsidRPr="00CA6574">
              <w:tab/>
              <w:t>.8</w:t>
            </w:r>
            <w:r w:rsidRPr="00CA6574">
              <w:tab/>
              <w:t>Officer’s certificate of the vendor, dated on the closing date, attesting to the accuracy of representations and warranties contained in the share purchase agreement, the fulfillment of the vendor’s pre-closing covenants, the waiver or fulfillment of the vendor’s conditions precedent</w:t>
            </w:r>
            <w:r w:rsidR="000A68BE">
              <w:t>, and such other matters as may be required under the purchase agreement</w:t>
            </w:r>
            <w:r w:rsidRPr="00CA6574">
              <w:t>.</w:t>
            </w:r>
          </w:p>
        </w:tc>
        <w:tc>
          <w:tcPr>
            <w:tcW w:w="450" w:type="dxa"/>
            <w:tcBorders>
              <w:left w:val="single" w:sz="6" w:space="0" w:color="auto"/>
            </w:tcBorders>
          </w:tcPr>
          <w:p w14:paraId="2A0370A9" w14:textId="77777777" w:rsidR="005E6C8C" w:rsidRPr="00CA6574" w:rsidRDefault="005E6C8C" w:rsidP="005E6C8C">
            <w:pPr>
              <w:pStyle w:val="Level2"/>
            </w:pPr>
          </w:p>
        </w:tc>
        <w:tc>
          <w:tcPr>
            <w:tcW w:w="450" w:type="dxa"/>
            <w:tcBorders>
              <w:left w:val="single" w:sz="6" w:space="0" w:color="auto"/>
            </w:tcBorders>
          </w:tcPr>
          <w:p w14:paraId="6105C867" w14:textId="77777777" w:rsidR="005E6C8C" w:rsidRPr="00CA6574" w:rsidRDefault="005E6C8C" w:rsidP="005E6C8C">
            <w:pPr>
              <w:pStyle w:val="Level2"/>
            </w:pPr>
          </w:p>
        </w:tc>
        <w:tc>
          <w:tcPr>
            <w:tcW w:w="450" w:type="dxa"/>
            <w:tcBorders>
              <w:left w:val="single" w:sz="6" w:space="0" w:color="auto"/>
            </w:tcBorders>
          </w:tcPr>
          <w:p w14:paraId="35E5FC6C" w14:textId="77777777" w:rsidR="005E6C8C" w:rsidRPr="00CA6574" w:rsidRDefault="005E6C8C" w:rsidP="005E6C8C">
            <w:pPr>
              <w:pStyle w:val="Level2"/>
            </w:pPr>
          </w:p>
        </w:tc>
        <w:tc>
          <w:tcPr>
            <w:tcW w:w="1001" w:type="dxa"/>
            <w:tcBorders>
              <w:left w:val="single" w:sz="6" w:space="0" w:color="auto"/>
            </w:tcBorders>
          </w:tcPr>
          <w:p w14:paraId="53118F61" w14:textId="77777777" w:rsidR="005E6C8C" w:rsidRPr="00CA6574" w:rsidRDefault="005E6C8C" w:rsidP="005E6C8C">
            <w:pPr>
              <w:pStyle w:val="Level2"/>
            </w:pPr>
          </w:p>
        </w:tc>
        <w:tc>
          <w:tcPr>
            <w:tcW w:w="1001" w:type="dxa"/>
            <w:tcBorders>
              <w:left w:val="single" w:sz="6" w:space="0" w:color="auto"/>
            </w:tcBorders>
          </w:tcPr>
          <w:p w14:paraId="63B65567" w14:textId="77777777" w:rsidR="005E6C8C" w:rsidRPr="00CA6574" w:rsidRDefault="005E6C8C" w:rsidP="005E6C8C">
            <w:pPr>
              <w:pStyle w:val="Level2"/>
            </w:pPr>
          </w:p>
        </w:tc>
      </w:tr>
      <w:tr w:rsidR="005E6C8C" w:rsidRPr="00CA6574" w14:paraId="68BDD376" w14:textId="77777777">
        <w:trPr>
          <w:cantSplit/>
        </w:trPr>
        <w:tc>
          <w:tcPr>
            <w:tcW w:w="6948" w:type="dxa"/>
          </w:tcPr>
          <w:p w14:paraId="79FD2D8F" w14:textId="77777777" w:rsidR="005E6C8C" w:rsidRPr="00CA6574" w:rsidRDefault="005E6C8C" w:rsidP="005E6C8C">
            <w:pPr>
              <w:pStyle w:val="Level2"/>
            </w:pPr>
            <w:r w:rsidRPr="00CA6574">
              <w:tab/>
              <w:t>.9</w:t>
            </w:r>
            <w:r w:rsidRPr="00CA6574">
              <w:tab/>
              <w:t>Opinion of the vendor’s lawyer making proper qualifications and assumptions, with respect to the vendor or the target, or both, and asserting</w:t>
            </w:r>
            <w:r>
              <w:t>,</w:t>
            </w:r>
            <w:r w:rsidRPr="00CA6574">
              <w:t xml:space="preserve"> among other things:</w:t>
            </w:r>
          </w:p>
        </w:tc>
        <w:tc>
          <w:tcPr>
            <w:tcW w:w="450" w:type="dxa"/>
            <w:tcBorders>
              <w:left w:val="single" w:sz="6" w:space="0" w:color="auto"/>
            </w:tcBorders>
          </w:tcPr>
          <w:p w14:paraId="00C9B82C" w14:textId="77777777" w:rsidR="005E6C8C" w:rsidRPr="00CA6574" w:rsidRDefault="005E6C8C" w:rsidP="005E6C8C">
            <w:pPr>
              <w:pStyle w:val="Level2"/>
            </w:pPr>
          </w:p>
        </w:tc>
        <w:tc>
          <w:tcPr>
            <w:tcW w:w="450" w:type="dxa"/>
            <w:tcBorders>
              <w:left w:val="single" w:sz="6" w:space="0" w:color="auto"/>
            </w:tcBorders>
          </w:tcPr>
          <w:p w14:paraId="55AB0EC7" w14:textId="77777777" w:rsidR="005E6C8C" w:rsidRPr="00CA6574" w:rsidRDefault="005E6C8C" w:rsidP="005E6C8C">
            <w:pPr>
              <w:pStyle w:val="Level2"/>
            </w:pPr>
          </w:p>
        </w:tc>
        <w:tc>
          <w:tcPr>
            <w:tcW w:w="450" w:type="dxa"/>
            <w:tcBorders>
              <w:left w:val="single" w:sz="6" w:space="0" w:color="auto"/>
            </w:tcBorders>
          </w:tcPr>
          <w:p w14:paraId="1E62DB3D" w14:textId="77777777" w:rsidR="005E6C8C" w:rsidRPr="00CA6574" w:rsidRDefault="005E6C8C" w:rsidP="005E6C8C">
            <w:pPr>
              <w:pStyle w:val="Level2"/>
            </w:pPr>
          </w:p>
        </w:tc>
        <w:tc>
          <w:tcPr>
            <w:tcW w:w="1001" w:type="dxa"/>
            <w:tcBorders>
              <w:left w:val="single" w:sz="6" w:space="0" w:color="auto"/>
            </w:tcBorders>
          </w:tcPr>
          <w:p w14:paraId="5181642A" w14:textId="77777777" w:rsidR="005E6C8C" w:rsidRPr="00CA6574" w:rsidRDefault="005E6C8C" w:rsidP="005E6C8C">
            <w:pPr>
              <w:pStyle w:val="Level2"/>
            </w:pPr>
          </w:p>
        </w:tc>
        <w:tc>
          <w:tcPr>
            <w:tcW w:w="1001" w:type="dxa"/>
            <w:tcBorders>
              <w:left w:val="single" w:sz="6" w:space="0" w:color="auto"/>
            </w:tcBorders>
          </w:tcPr>
          <w:p w14:paraId="6BEC7127" w14:textId="77777777" w:rsidR="005E6C8C" w:rsidRPr="00CA6574" w:rsidRDefault="005E6C8C" w:rsidP="005E6C8C">
            <w:pPr>
              <w:pStyle w:val="Level2"/>
            </w:pPr>
          </w:p>
        </w:tc>
      </w:tr>
      <w:tr w:rsidR="005E6C8C" w:rsidRPr="00CA6574" w14:paraId="5E29DE93" w14:textId="77777777">
        <w:trPr>
          <w:cantSplit/>
        </w:trPr>
        <w:tc>
          <w:tcPr>
            <w:tcW w:w="6948" w:type="dxa"/>
          </w:tcPr>
          <w:p w14:paraId="55663E17" w14:textId="77777777" w:rsidR="005E6C8C" w:rsidRPr="00CA6574" w:rsidRDefault="005E6C8C" w:rsidP="005E6C8C">
            <w:pPr>
              <w:pStyle w:val="Level3"/>
            </w:pPr>
            <w:r w:rsidRPr="00CA6574">
              <w:tab/>
              <w:t>(a)</w:t>
            </w:r>
            <w:r w:rsidRPr="00CA6574">
              <w:tab/>
              <w:t>Valid incorporation of the company and the vendor.</w:t>
            </w:r>
          </w:p>
        </w:tc>
        <w:tc>
          <w:tcPr>
            <w:tcW w:w="450" w:type="dxa"/>
            <w:tcBorders>
              <w:left w:val="single" w:sz="6" w:space="0" w:color="auto"/>
            </w:tcBorders>
          </w:tcPr>
          <w:p w14:paraId="4E68EB98" w14:textId="77777777" w:rsidR="005E6C8C" w:rsidRPr="00CA6574" w:rsidRDefault="005E6C8C" w:rsidP="005E6C8C">
            <w:pPr>
              <w:pStyle w:val="Level3"/>
            </w:pPr>
          </w:p>
        </w:tc>
        <w:tc>
          <w:tcPr>
            <w:tcW w:w="450" w:type="dxa"/>
            <w:tcBorders>
              <w:left w:val="single" w:sz="6" w:space="0" w:color="auto"/>
            </w:tcBorders>
          </w:tcPr>
          <w:p w14:paraId="2A230DFF" w14:textId="77777777" w:rsidR="005E6C8C" w:rsidRPr="00CA6574" w:rsidRDefault="005E6C8C" w:rsidP="005E6C8C">
            <w:pPr>
              <w:pStyle w:val="Level3"/>
            </w:pPr>
          </w:p>
        </w:tc>
        <w:tc>
          <w:tcPr>
            <w:tcW w:w="450" w:type="dxa"/>
            <w:tcBorders>
              <w:left w:val="single" w:sz="6" w:space="0" w:color="auto"/>
            </w:tcBorders>
          </w:tcPr>
          <w:p w14:paraId="1DDCB912" w14:textId="77777777" w:rsidR="005E6C8C" w:rsidRPr="00CA6574" w:rsidRDefault="005E6C8C" w:rsidP="005E6C8C">
            <w:pPr>
              <w:pStyle w:val="Level3"/>
            </w:pPr>
          </w:p>
        </w:tc>
        <w:tc>
          <w:tcPr>
            <w:tcW w:w="1001" w:type="dxa"/>
            <w:tcBorders>
              <w:left w:val="single" w:sz="6" w:space="0" w:color="auto"/>
            </w:tcBorders>
          </w:tcPr>
          <w:p w14:paraId="37B49B51" w14:textId="77777777" w:rsidR="005E6C8C" w:rsidRPr="00CA6574" w:rsidRDefault="005E6C8C" w:rsidP="005E6C8C">
            <w:pPr>
              <w:pStyle w:val="Level3"/>
            </w:pPr>
          </w:p>
        </w:tc>
        <w:tc>
          <w:tcPr>
            <w:tcW w:w="1001" w:type="dxa"/>
            <w:tcBorders>
              <w:left w:val="single" w:sz="6" w:space="0" w:color="auto"/>
            </w:tcBorders>
          </w:tcPr>
          <w:p w14:paraId="26B7399C" w14:textId="77777777" w:rsidR="005E6C8C" w:rsidRPr="00CA6574" w:rsidRDefault="005E6C8C" w:rsidP="005E6C8C">
            <w:pPr>
              <w:pStyle w:val="Level3"/>
            </w:pPr>
          </w:p>
        </w:tc>
      </w:tr>
      <w:tr w:rsidR="005E6C8C" w:rsidRPr="00CA6574" w14:paraId="7CF3979A" w14:textId="77777777">
        <w:trPr>
          <w:cantSplit/>
        </w:trPr>
        <w:tc>
          <w:tcPr>
            <w:tcW w:w="6948" w:type="dxa"/>
          </w:tcPr>
          <w:p w14:paraId="074CA37E" w14:textId="77777777" w:rsidR="005E6C8C" w:rsidRPr="00CA6574" w:rsidRDefault="005E6C8C" w:rsidP="005E6C8C">
            <w:pPr>
              <w:pStyle w:val="Level3"/>
            </w:pPr>
            <w:r w:rsidRPr="00CA6574">
              <w:tab/>
              <w:t>(b)</w:t>
            </w:r>
            <w:r w:rsidRPr="00CA6574">
              <w:tab/>
              <w:t>The company and the vendor are in good standing.</w:t>
            </w:r>
          </w:p>
        </w:tc>
        <w:tc>
          <w:tcPr>
            <w:tcW w:w="450" w:type="dxa"/>
            <w:tcBorders>
              <w:left w:val="single" w:sz="6" w:space="0" w:color="auto"/>
            </w:tcBorders>
          </w:tcPr>
          <w:p w14:paraId="2228D671" w14:textId="77777777" w:rsidR="005E6C8C" w:rsidRPr="00CA6574" w:rsidRDefault="005E6C8C" w:rsidP="005E6C8C">
            <w:pPr>
              <w:pStyle w:val="Level3"/>
            </w:pPr>
          </w:p>
        </w:tc>
        <w:tc>
          <w:tcPr>
            <w:tcW w:w="450" w:type="dxa"/>
            <w:tcBorders>
              <w:left w:val="single" w:sz="6" w:space="0" w:color="auto"/>
            </w:tcBorders>
          </w:tcPr>
          <w:p w14:paraId="13B77356" w14:textId="77777777" w:rsidR="005E6C8C" w:rsidRPr="00CA6574" w:rsidRDefault="005E6C8C" w:rsidP="005E6C8C">
            <w:pPr>
              <w:pStyle w:val="Level3"/>
            </w:pPr>
          </w:p>
        </w:tc>
        <w:tc>
          <w:tcPr>
            <w:tcW w:w="450" w:type="dxa"/>
            <w:tcBorders>
              <w:left w:val="single" w:sz="6" w:space="0" w:color="auto"/>
            </w:tcBorders>
          </w:tcPr>
          <w:p w14:paraId="7FD06C40" w14:textId="77777777" w:rsidR="005E6C8C" w:rsidRPr="00CA6574" w:rsidRDefault="005E6C8C" w:rsidP="005E6C8C">
            <w:pPr>
              <w:pStyle w:val="Level3"/>
            </w:pPr>
          </w:p>
        </w:tc>
        <w:tc>
          <w:tcPr>
            <w:tcW w:w="1001" w:type="dxa"/>
            <w:tcBorders>
              <w:left w:val="single" w:sz="6" w:space="0" w:color="auto"/>
            </w:tcBorders>
          </w:tcPr>
          <w:p w14:paraId="79D5D46C" w14:textId="77777777" w:rsidR="005E6C8C" w:rsidRPr="00CA6574" w:rsidRDefault="005E6C8C" w:rsidP="005E6C8C">
            <w:pPr>
              <w:pStyle w:val="Level3"/>
            </w:pPr>
          </w:p>
        </w:tc>
        <w:tc>
          <w:tcPr>
            <w:tcW w:w="1001" w:type="dxa"/>
            <w:tcBorders>
              <w:left w:val="single" w:sz="6" w:space="0" w:color="auto"/>
            </w:tcBorders>
          </w:tcPr>
          <w:p w14:paraId="1B433922" w14:textId="77777777" w:rsidR="005E6C8C" w:rsidRPr="00CA6574" w:rsidRDefault="005E6C8C" w:rsidP="005E6C8C">
            <w:pPr>
              <w:pStyle w:val="Level3"/>
            </w:pPr>
          </w:p>
        </w:tc>
      </w:tr>
      <w:tr w:rsidR="005E6C8C" w:rsidRPr="00CA6574" w14:paraId="3F48836C" w14:textId="77777777">
        <w:trPr>
          <w:cantSplit/>
          <w:trHeight w:val="441"/>
        </w:trPr>
        <w:tc>
          <w:tcPr>
            <w:tcW w:w="6948" w:type="dxa"/>
          </w:tcPr>
          <w:p w14:paraId="280BEF60" w14:textId="77777777" w:rsidR="005E6C8C" w:rsidRPr="00CA6574" w:rsidRDefault="005E6C8C" w:rsidP="005E6C8C">
            <w:pPr>
              <w:pStyle w:val="Level3"/>
            </w:pPr>
            <w:r w:rsidRPr="00CA6574">
              <w:tab/>
              <w:t>(c)</w:t>
            </w:r>
            <w:r w:rsidRPr="00CA6574">
              <w:tab/>
              <w:t>All necessary steps and proceedings have been taken to effect share transfer and transaction.</w:t>
            </w:r>
          </w:p>
        </w:tc>
        <w:tc>
          <w:tcPr>
            <w:tcW w:w="450" w:type="dxa"/>
            <w:tcBorders>
              <w:left w:val="single" w:sz="6" w:space="0" w:color="auto"/>
            </w:tcBorders>
          </w:tcPr>
          <w:p w14:paraId="6CEAF616" w14:textId="77777777" w:rsidR="005E6C8C" w:rsidRPr="00CA6574" w:rsidRDefault="005E6C8C" w:rsidP="005E6C8C">
            <w:pPr>
              <w:pStyle w:val="Level3"/>
            </w:pPr>
          </w:p>
        </w:tc>
        <w:tc>
          <w:tcPr>
            <w:tcW w:w="450" w:type="dxa"/>
            <w:tcBorders>
              <w:left w:val="single" w:sz="6" w:space="0" w:color="auto"/>
            </w:tcBorders>
          </w:tcPr>
          <w:p w14:paraId="0CEF9D63" w14:textId="77777777" w:rsidR="005E6C8C" w:rsidRPr="00CA6574" w:rsidRDefault="005E6C8C" w:rsidP="005E6C8C">
            <w:pPr>
              <w:pStyle w:val="Level3"/>
            </w:pPr>
          </w:p>
        </w:tc>
        <w:tc>
          <w:tcPr>
            <w:tcW w:w="450" w:type="dxa"/>
            <w:tcBorders>
              <w:left w:val="single" w:sz="6" w:space="0" w:color="auto"/>
            </w:tcBorders>
          </w:tcPr>
          <w:p w14:paraId="5F7587F3" w14:textId="77777777" w:rsidR="005E6C8C" w:rsidRPr="00CA6574" w:rsidRDefault="005E6C8C" w:rsidP="005E6C8C">
            <w:pPr>
              <w:pStyle w:val="Level3"/>
            </w:pPr>
          </w:p>
        </w:tc>
        <w:tc>
          <w:tcPr>
            <w:tcW w:w="1001" w:type="dxa"/>
            <w:tcBorders>
              <w:left w:val="single" w:sz="6" w:space="0" w:color="auto"/>
            </w:tcBorders>
          </w:tcPr>
          <w:p w14:paraId="3AED5CD4" w14:textId="77777777" w:rsidR="005E6C8C" w:rsidRPr="00CA6574" w:rsidRDefault="005E6C8C" w:rsidP="005E6C8C">
            <w:pPr>
              <w:pStyle w:val="Level3"/>
            </w:pPr>
          </w:p>
        </w:tc>
        <w:tc>
          <w:tcPr>
            <w:tcW w:w="1001" w:type="dxa"/>
            <w:tcBorders>
              <w:left w:val="single" w:sz="6" w:space="0" w:color="auto"/>
            </w:tcBorders>
          </w:tcPr>
          <w:p w14:paraId="3F0F0BE7" w14:textId="77777777" w:rsidR="005E6C8C" w:rsidRPr="00CA6574" w:rsidRDefault="005E6C8C" w:rsidP="005E6C8C">
            <w:pPr>
              <w:pStyle w:val="Level3"/>
            </w:pPr>
          </w:p>
        </w:tc>
      </w:tr>
      <w:tr w:rsidR="005E6C8C" w:rsidRPr="00CA6574" w14:paraId="67E0F152" w14:textId="6CF29E7F" w:rsidTr="003C15C4">
        <w:trPr>
          <w:cantSplit/>
          <w:trHeight w:val="360"/>
        </w:trPr>
        <w:tc>
          <w:tcPr>
            <w:tcW w:w="6948" w:type="dxa"/>
          </w:tcPr>
          <w:p w14:paraId="5BE68C4A" w14:textId="0788772F" w:rsidR="005E6C8C" w:rsidRPr="00CA6574" w:rsidRDefault="005E6C8C" w:rsidP="005E6C8C">
            <w:pPr>
              <w:pStyle w:val="Level3"/>
            </w:pPr>
            <w:r w:rsidRPr="00CA6574">
              <w:tab/>
              <w:t>(d)</w:t>
            </w:r>
            <w:r w:rsidRPr="00CA6574">
              <w:tab/>
            </w:r>
            <w:r>
              <w:t>Authorized and issued/outstanding share c</w:t>
            </w:r>
            <w:r w:rsidRPr="00CA6574">
              <w:t>apital structure</w:t>
            </w:r>
            <w:r w:rsidR="008B227E">
              <w:t>.</w:t>
            </w:r>
          </w:p>
        </w:tc>
        <w:tc>
          <w:tcPr>
            <w:tcW w:w="450" w:type="dxa"/>
            <w:tcBorders>
              <w:left w:val="single" w:sz="6" w:space="0" w:color="auto"/>
            </w:tcBorders>
          </w:tcPr>
          <w:p w14:paraId="36A0ECB8" w14:textId="3BEF82E4" w:rsidR="005E6C8C" w:rsidRPr="00CA6574" w:rsidRDefault="005E6C8C" w:rsidP="005E6C8C">
            <w:pPr>
              <w:pStyle w:val="Level3"/>
            </w:pPr>
          </w:p>
        </w:tc>
        <w:tc>
          <w:tcPr>
            <w:tcW w:w="450" w:type="dxa"/>
            <w:tcBorders>
              <w:left w:val="single" w:sz="6" w:space="0" w:color="auto"/>
            </w:tcBorders>
          </w:tcPr>
          <w:p w14:paraId="56A60FA8" w14:textId="6E7D3633" w:rsidR="005E6C8C" w:rsidRPr="00CA6574" w:rsidRDefault="005E6C8C" w:rsidP="005E6C8C">
            <w:pPr>
              <w:pStyle w:val="Level3"/>
            </w:pPr>
          </w:p>
        </w:tc>
        <w:tc>
          <w:tcPr>
            <w:tcW w:w="450" w:type="dxa"/>
            <w:tcBorders>
              <w:left w:val="single" w:sz="6" w:space="0" w:color="auto"/>
            </w:tcBorders>
          </w:tcPr>
          <w:p w14:paraId="3BB37E71" w14:textId="54952668" w:rsidR="005E6C8C" w:rsidRPr="00CA6574" w:rsidRDefault="005E6C8C" w:rsidP="005E6C8C">
            <w:pPr>
              <w:pStyle w:val="Level3"/>
            </w:pPr>
          </w:p>
        </w:tc>
        <w:tc>
          <w:tcPr>
            <w:tcW w:w="1001" w:type="dxa"/>
            <w:tcBorders>
              <w:left w:val="single" w:sz="6" w:space="0" w:color="auto"/>
            </w:tcBorders>
          </w:tcPr>
          <w:p w14:paraId="700689CB" w14:textId="78EF4290" w:rsidR="005E6C8C" w:rsidRPr="00CA6574" w:rsidRDefault="005E6C8C" w:rsidP="005E6C8C">
            <w:pPr>
              <w:pStyle w:val="Level3"/>
            </w:pPr>
          </w:p>
        </w:tc>
        <w:tc>
          <w:tcPr>
            <w:tcW w:w="1001" w:type="dxa"/>
            <w:tcBorders>
              <w:left w:val="single" w:sz="6" w:space="0" w:color="auto"/>
            </w:tcBorders>
          </w:tcPr>
          <w:p w14:paraId="45E11B4B" w14:textId="0DD985E7" w:rsidR="005E6C8C" w:rsidRPr="00CA6574" w:rsidRDefault="005E6C8C" w:rsidP="005E6C8C">
            <w:pPr>
              <w:pStyle w:val="Level3"/>
            </w:pPr>
          </w:p>
        </w:tc>
      </w:tr>
      <w:tr w:rsidR="005E6C8C" w:rsidRPr="00CA6574" w14:paraId="529329AD" w14:textId="77777777">
        <w:trPr>
          <w:cantSplit/>
          <w:trHeight w:val="504"/>
        </w:trPr>
        <w:tc>
          <w:tcPr>
            <w:tcW w:w="6948" w:type="dxa"/>
          </w:tcPr>
          <w:p w14:paraId="3B96D844" w14:textId="77777777" w:rsidR="005E6C8C" w:rsidRPr="00CA6574" w:rsidRDefault="005E6C8C" w:rsidP="005E6C8C">
            <w:pPr>
              <w:pStyle w:val="Level3"/>
            </w:pPr>
            <w:r w:rsidRPr="00CA6574">
              <w:tab/>
              <w:t>(e)</w:t>
            </w:r>
            <w:r w:rsidRPr="00CA6574">
              <w:tab/>
              <w:t>Outstanding shares are validly issued, fully paid, and non-assessable.</w:t>
            </w:r>
          </w:p>
        </w:tc>
        <w:tc>
          <w:tcPr>
            <w:tcW w:w="450" w:type="dxa"/>
            <w:tcBorders>
              <w:left w:val="single" w:sz="6" w:space="0" w:color="auto"/>
            </w:tcBorders>
          </w:tcPr>
          <w:p w14:paraId="24F37DC0" w14:textId="77777777" w:rsidR="005E6C8C" w:rsidRPr="00CA6574" w:rsidRDefault="005E6C8C" w:rsidP="005E6C8C">
            <w:pPr>
              <w:pStyle w:val="Level3"/>
            </w:pPr>
          </w:p>
        </w:tc>
        <w:tc>
          <w:tcPr>
            <w:tcW w:w="450" w:type="dxa"/>
            <w:tcBorders>
              <w:left w:val="single" w:sz="6" w:space="0" w:color="auto"/>
            </w:tcBorders>
          </w:tcPr>
          <w:p w14:paraId="2C2BE872" w14:textId="77777777" w:rsidR="005E6C8C" w:rsidRPr="00CA6574" w:rsidRDefault="005E6C8C" w:rsidP="005E6C8C">
            <w:pPr>
              <w:pStyle w:val="Level3"/>
            </w:pPr>
          </w:p>
        </w:tc>
        <w:tc>
          <w:tcPr>
            <w:tcW w:w="450" w:type="dxa"/>
            <w:tcBorders>
              <w:left w:val="single" w:sz="6" w:space="0" w:color="auto"/>
            </w:tcBorders>
          </w:tcPr>
          <w:p w14:paraId="2B813202" w14:textId="77777777" w:rsidR="005E6C8C" w:rsidRPr="00CA6574" w:rsidRDefault="005E6C8C" w:rsidP="005E6C8C">
            <w:pPr>
              <w:pStyle w:val="Level3"/>
            </w:pPr>
          </w:p>
        </w:tc>
        <w:tc>
          <w:tcPr>
            <w:tcW w:w="1001" w:type="dxa"/>
            <w:tcBorders>
              <w:left w:val="single" w:sz="6" w:space="0" w:color="auto"/>
            </w:tcBorders>
          </w:tcPr>
          <w:p w14:paraId="16685357" w14:textId="77777777" w:rsidR="005E6C8C" w:rsidRPr="00CA6574" w:rsidRDefault="005E6C8C" w:rsidP="005E6C8C">
            <w:pPr>
              <w:pStyle w:val="Level3"/>
            </w:pPr>
          </w:p>
        </w:tc>
        <w:tc>
          <w:tcPr>
            <w:tcW w:w="1001" w:type="dxa"/>
            <w:tcBorders>
              <w:left w:val="single" w:sz="6" w:space="0" w:color="auto"/>
            </w:tcBorders>
          </w:tcPr>
          <w:p w14:paraId="3B51F790" w14:textId="77777777" w:rsidR="005E6C8C" w:rsidRPr="00CA6574" w:rsidRDefault="005E6C8C" w:rsidP="005E6C8C">
            <w:pPr>
              <w:pStyle w:val="Level3"/>
            </w:pPr>
          </w:p>
        </w:tc>
      </w:tr>
      <w:tr w:rsidR="005E6C8C" w:rsidRPr="00CA6574" w14:paraId="70BF3577" w14:textId="77777777" w:rsidTr="00095A61">
        <w:trPr>
          <w:cantSplit/>
          <w:trHeight w:val="486"/>
        </w:trPr>
        <w:tc>
          <w:tcPr>
            <w:tcW w:w="6948" w:type="dxa"/>
          </w:tcPr>
          <w:p w14:paraId="1C47FFF2" w14:textId="142468A8" w:rsidR="005E6C8C" w:rsidRPr="00CA6574" w:rsidRDefault="005E6C8C" w:rsidP="005E6C8C">
            <w:pPr>
              <w:pStyle w:val="Level3"/>
            </w:pPr>
            <w:r>
              <w:tab/>
              <w:t>(f</w:t>
            </w:r>
            <w:r w:rsidRPr="00CA6574">
              <w:t>)</w:t>
            </w:r>
            <w:r w:rsidRPr="00CA6574">
              <w:tab/>
              <w:t xml:space="preserve">Agreement </w:t>
            </w:r>
            <w:r>
              <w:t>(and key ancillary agreement(s) if applicable, such as promissory note</w:t>
            </w:r>
            <w:r w:rsidR="006452C9">
              <w:t>s</w:t>
            </w:r>
            <w:r>
              <w:t>)</w:t>
            </w:r>
            <w:r w:rsidRPr="00CA6574">
              <w:t xml:space="preserve"> </w:t>
            </w:r>
            <w:r>
              <w:t>have been duly executed and delivered.</w:t>
            </w:r>
          </w:p>
        </w:tc>
        <w:tc>
          <w:tcPr>
            <w:tcW w:w="450" w:type="dxa"/>
            <w:tcBorders>
              <w:left w:val="single" w:sz="6" w:space="0" w:color="auto"/>
            </w:tcBorders>
          </w:tcPr>
          <w:p w14:paraId="1132B751" w14:textId="77777777" w:rsidR="005E6C8C" w:rsidRPr="00CA6574" w:rsidRDefault="005E6C8C" w:rsidP="005E6C8C">
            <w:pPr>
              <w:pStyle w:val="Level3"/>
            </w:pPr>
          </w:p>
        </w:tc>
        <w:tc>
          <w:tcPr>
            <w:tcW w:w="450" w:type="dxa"/>
            <w:tcBorders>
              <w:left w:val="single" w:sz="6" w:space="0" w:color="auto"/>
            </w:tcBorders>
          </w:tcPr>
          <w:p w14:paraId="61AF4E14" w14:textId="77777777" w:rsidR="005E6C8C" w:rsidRPr="00CA6574" w:rsidRDefault="005E6C8C" w:rsidP="005E6C8C">
            <w:pPr>
              <w:pStyle w:val="Level3"/>
            </w:pPr>
          </w:p>
        </w:tc>
        <w:tc>
          <w:tcPr>
            <w:tcW w:w="450" w:type="dxa"/>
            <w:tcBorders>
              <w:left w:val="single" w:sz="6" w:space="0" w:color="auto"/>
            </w:tcBorders>
          </w:tcPr>
          <w:p w14:paraId="1D534330" w14:textId="77777777" w:rsidR="005E6C8C" w:rsidRPr="00CA6574" w:rsidRDefault="005E6C8C" w:rsidP="005E6C8C">
            <w:pPr>
              <w:pStyle w:val="Level3"/>
            </w:pPr>
          </w:p>
        </w:tc>
        <w:tc>
          <w:tcPr>
            <w:tcW w:w="1001" w:type="dxa"/>
            <w:tcBorders>
              <w:left w:val="single" w:sz="6" w:space="0" w:color="auto"/>
            </w:tcBorders>
          </w:tcPr>
          <w:p w14:paraId="1E454DD3" w14:textId="77777777" w:rsidR="005E6C8C" w:rsidRPr="00CA6574" w:rsidRDefault="005E6C8C" w:rsidP="005E6C8C">
            <w:pPr>
              <w:pStyle w:val="Level3"/>
            </w:pPr>
          </w:p>
        </w:tc>
        <w:tc>
          <w:tcPr>
            <w:tcW w:w="1001" w:type="dxa"/>
            <w:tcBorders>
              <w:left w:val="single" w:sz="6" w:space="0" w:color="auto"/>
            </w:tcBorders>
          </w:tcPr>
          <w:p w14:paraId="63C752C5" w14:textId="77777777" w:rsidR="005E6C8C" w:rsidRPr="00CA6574" w:rsidRDefault="005E6C8C" w:rsidP="005E6C8C">
            <w:pPr>
              <w:pStyle w:val="Level3"/>
            </w:pPr>
          </w:p>
        </w:tc>
      </w:tr>
      <w:tr w:rsidR="005E6C8C" w:rsidRPr="00CA6574" w14:paraId="52ADD659" w14:textId="77777777" w:rsidTr="00130C47">
        <w:trPr>
          <w:cantSplit/>
          <w:trHeight w:val="486"/>
        </w:trPr>
        <w:tc>
          <w:tcPr>
            <w:tcW w:w="6948" w:type="dxa"/>
          </w:tcPr>
          <w:p w14:paraId="358F8FAF" w14:textId="525D0993" w:rsidR="005E6C8C" w:rsidRPr="00CA6574" w:rsidRDefault="005E6C8C" w:rsidP="005E6C8C">
            <w:pPr>
              <w:pStyle w:val="Level3"/>
            </w:pPr>
            <w:r w:rsidRPr="00CA6574">
              <w:tab/>
              <w:t>(</w:t>
            </w:r>
            <w:r>
              <w:t>g</w:t>
            </w:r>
            <w:r w:rsidRPr="00CA6574">
              <w:t>)</w:t>
            </w:r>
            <w:r w:rsidRPr="00CA6574">
              <w:tab/>
              <w:t>Agreement is fully enforceable against the vendor (the vendor’s lawyer should consider whether to grant this opinion).</w:t>
            </w:r>
          </w:p>
        </w:tc>
        <w:tc>
          <w:tcPr>
            <w:tcW w:w="450" w:type="dxa"/>
            <w:tcBorders>
              <w:left w:val="single" w:sz="6" w:space="0" w:color="auto"/>
            </w:tcBorders>
          </w:tcPr>
          <w:p w14:paraId="5F87F088" w14:textId="77777777" w:rsidR="005E6C8C" w:rsidRPr="00CA6574" w:rsidRDefault="005E6C8C" w:rsidP="005E6C8C">
            <w:pPr>
              <w:pStyle w:val="Level3"/>
            </w:pPr>
          </w:p>
        </w:tc>
        <w:tc>
          <w:tcPr>
            <w:tcW w:w="450" w:type="dxa"/>
            <w:tcBorders>
              <w:left w:val="single" w:sz="6" w:space="0" w:color="auto"/>
            </w:tcBorders>
          </w:tcPr>
          <w:p w14:paraId="7D2387F0" w14:textId="77777777" w:rsidR="005E6C8C" w:rsidRPr="00CA6574" w:rsidRDefault="005E6C8C" w:rsidP="005E6C8C">
            <w:pPr>
              <w:pStyle w:val="Level3"/>
            </w:pPr>
          </w:p>
        </w:tc>
        <w:tc>
          <w:tcPr>
            <w:tcW w:w="450" w:type="dxa"/>
            <w:tcBorders>
              <w:left w:val="single" w:sz="6" w:space="0" w:color="auto"/>
            </w:tcBorders>
          </w:tcPr>
          <w:p w14:paraId="57231007" w14:textId="77777777" w:rsidR="005E6C8C" w:rsidRPr="00CA6574" w:rsidRDefault="005E6C8C" w:rsidP="005E6C8C">
            <w:pPr>
              <w:pStyle w:val="Level3"/>
            </w:pPr>
          </w:p>
        </w:tc>
        <w:tc>
          <w:tcPr>
            <w:tcW w:w="1001" w:type="dxa"/>
            <w:tcBorders>
              <w:left w:val="single" w:sz="6" w:space="0" w:color="auto"/>
            </w:tcBorders>
          </w:tcPr>
          <w:p w14:paraId="772AB089" w14:textId="77777777" w:rsidR="005E6C8C" w:rsidRPr="00CA6574" w:rsidRDefault="005E6C8C" w:rsidP="005E6C8C">
            <w:pPr>
              <w:pStyle w:val="Level3"/>
            </w:pPr>
          </w:p>
        </w:tc>
        <w:tc>
          <w:tcPr>
            <w:tcW w:w="1001" w:type="dxa"/>
            <w:tcBorders>
              <w:left w:val="single" w:sz="6" w:space="0" w:color="auto"/>
            </w:tcBorders>
          </w:tcPr>
          <w:p w14:paraId="3BC3695D" w14:textId="77777777" w:rsidR="005E6C8C" w:rsidRPr="00CA6574" w:rsidRDefault="005E6C8C" w:rsidP="005E6C8C">
            <w:pPr>
              <w:pStyle w:val="Level3"/>
            </w:pPr>
          </w:p>
        </w:tc>
      </w:tr>
      <w:tr w:rsidR="005E6C8C" w:rsidRPr="00CA6574" w14:paraId="45A21CD0" w14:textId="77777777" w:rsidTr="0046711C">
        <w:trPr>
          <w:cantSplit/>
          <w:trHeight w:val="432"/>
        </w:trPr>
        <w:tc>
          <w:tcPr>
            <w:tcW w:w="6948" w:type="dxa"/>
          </w:tcPr>
          <w:p w14:paraId="7204EBB2" w14:textId="3663F01C" w:rsidR="005E6C8C" w:rsidRPr="00CA6574" w:rsidRDefault="005E6C8C" w:rsidP="006452C9">
            <w:pPr>
              <w:pStyle w:val="Level3"/>
            </w:pPr>
            <w:r w:rsidRPr="00CA6574">
              <w:tab/>
              <w:t>(</w:t>
            </w:r>
            <w:r>
              <w:t>h</w:t>
            </w:r>
            <w:r w:rsidRPr="00CA6574">
              <w:t>)</w:t>
            </w:r>
            <w:r w:rsidRPr="00CA6574">
              <w:tab/>
              <w:t>Consider the above opinions, where necessary, regarding a corporate vendor.</w:t>
            </w:r>
          </w:p>
        </w:tc>
        <w:tc>
          <w:tcPr>
            <w:tcW w:w="450" w:type="dxa"/>
            <w:tcBorders>
              <w:left w:val="single" w:sz="6" w:space="0" w:color="auto"/>
            </w:tcBorders>
          </w:tcPr>
          <w:p w14:paraId="41D303ED" w14:textId="77777777" w:rsidR="005E6C8C" w:rsidRPr="00CA6574" w:rsidRDefault="005E6C8C" w:rsidP="005E6C8C">
            <w:pPr>
              <w:pStyle w:val="Level3"/>
            </w:pPr>
          </w:p>
        </w:tc>
        <w:tc>
          <w:tcPr>
            <w:tcW w:w="450" w:type="dxa"/>
            <w:tcBorders>
              <w:left w:val="single" w:sz="6" w:space="0" w:color="auto"/>
            </w:tcBorders>
          </w:tcPr>
          <w:p w14:paraId="574A631A" w14:textId="77777777" w:rsidR="005E6C8C" w:rsidRPr="00CA6574" w:rsidRDefault="005E6C8C" w:rsidP="005E6C8C">
            <w:pPr>
              <w:pStyle w:val="Level3"/>
            </w:pPr>
          </w:p>
        </w:tc>
        <w:tc>
          <w:tcPr>
            <w:tcW w:w="450" w:type="dxa"/>
            <w:tcBorders>
              <w:left w:val="single" w:sz="6" w:space="0" w:color="auto"/>
            </w:tcBorders>
          </w:tcPr>
          <w:p w14:paraId="5BC8CBA3" w14:textId="77777777" w:rsidR="005E6C8C" w:rsidRPr="00CA6574" w:rsidRDefault="005E6C8C" w:rsidP="005E6C8C">
            <w:pPr>
              <w:pStyle w:val="Level3"/>
            </w:pPr>
          </w:p>
        </w:tc>
        <w:tc>
          <w:tcPr>
            <w:tcW w:w="1001" w:type="dxa"/>
            <w:tcBorders>
              <w:left w:val="single" w:sz="6" w:space="0" w:color="auto"/>
            </w:tcBorders>
          </w:tcPr>
          <w:p w14:paraId="41391B55" w14:textId="77777777" w:rsidR="005E6C8C" w:rsidRPr="00CA6574" w:rsidRDefault="005E6C8C" w:rsidP="005E6C8C">
            <w:pPr>
              <w:pStyle w:val="Level3"/>
            </w:pPr>
          </w:p>
        </w:tc>
        <w:tc>
          <w:tcPr>
            <w:tcW w:w="1001" w:type="dxa"/>
            <w:tcBorders>
              <w:left w:val="single" w:sz="6" w:space="0" w:color="auto"/>
            </w:tcBorders>
          </w:tcPr>
          <w:p w14:paraId="46DA7407" w14:textId="77777777" w:rsidR="005E6C8C" w:rsidRPr="00CA6574" w:rsidRDefault="005E6C8C" w:rsidP="005E6C8C">
            <w:pPr>
              <w:pStyle w:val="Level3"/>
            </w:pPr>
          </w:p>
        </w:tc>
      </w:tr>
      <w:tr w:rsidR="005E6C8C" w:rsidRPr="00CA6574" w14:paraId="2C880719" w14:textId="77777777" w:rsidTr="0046711C">
        <w:trPr>
          <w:cantSplit/>
          <w:trHeight w:val="1242"/>
        </w:trPr>
        <w:tc>
          <w:tcPr>
            <w:tcW w:w="6948" w:type="dxa"/>
          </w:tcPr>
          <w:p w14:paraId="1D73113B" w14:textId="5DB30981" w:rsidR="005E6C8C" w:rsidRPr="00CA6574" w:rsidRDefault="005E6C8C" w:rsidP="005E6C8C">
            <w:pPr>
              <w:pStyle w:val="Level2"/>
              <w:tabs>
                <w:tab w:val="clear" w:pos="1080"/>
                <w:tab w:val="clear" w:pos="1170"/>
                <w:tab w:val="left" w:pos="810"/>
                <w:tab w:val="left" w:pos="990"/>
              </w:tabs>
              <w:ind w:left="990" w:hanging="990"/>
            </w:pPr>
            <w:r w:rsidRPr="00CA6574">
              <w:tab/>
            </w:r>
            <w:r w:rsidRPr="000B647D">
              <w:rPr>
                <w:b/>
              </w:rPr>
              <w:tab/>
              <w:t>Note:</w:t>
            </w:r>
            <w:r w:rsidRPr="00CA6574">
              <w:t xml:space="preserve"> Many of the preceding items may be resisted by vendor’s counsel and may not be appropriate. Consider reviewing chapter 7 (Legal Opinions) in </w:t>
            </w:r>
            <w:r w:rsidRPr="00CA6574">
              <w:rPr>
                <w:i/>
                <w:iCs/>
              </w:rPr>
              <w:t>Advising British Columbia Businesses</w:t>
            </w:r>
            <w:r>
              <w:t xml:space="preserve"> </w:t>
            </w:r>
            <w:r w:rsidRPr="0021164B">
              <w:t>(CLEBC, 2006</w:t>
            </w:r>
            <w:r>
              <w:t>–</w:t>
            </w:r>
            <w:r w:rsidRPr="0021164B">
              <w:t>)</w:t>
            </w:r>
            <w:r>
              <w:t xml:space="preserve"> and the</w:t>
            </w:r>
            <w:r w:rsidRPr="0021164B">
              <w:t xml:space="preserve"> statements and opinions of the Solicitors’ Legal Opinions Committee</w:t>
            </w:r>
            <w:r>
              <w:t xml:space="preserve"> of British Columbia, available through</w:t>
            </w:r>
            <w:r w:rsidRPr="0021164B">
              <w:t xml:space="preserve"> </w:t>
            </w:r>
            <w:r w:rsidR="00EC138D">
              <w:t xml:space="preserve">at </w:t>
            </w:r>
            <w:r w:rsidR="00EC138D" w:rsidRPr="00EC138D">
              <w:t>www.cle.bc.ca/solicitors-legal-opinions/</w:t>
            </w:r>
            <w:r w:rsidR="00934834">
              <w:t>.</w:t>
            </w:r>
          </w:p>
        </w:tc>
        <w:tc>
          <w:tcPr>
            <w:tcW w:w="450" w:type="dxa"/>
            <w:tcBorders>
              <w:left w:val="single" w:sz="6" w:space="0" w:color="auto"/>
            </w:tcBorders>
          </w:tcPr>
          <w:p w14:paraId="6268D3A2" w14:textId="77777777" w:rsidR="005E6C8C" w:rsidRPr="00CA6574" w:rsidRDefault="005E6C8C" w:rsidP="005E6C8C">
            <w:pPr>
              <w:pStyle w:val="Level3"/>
            </w:pPr>
          </w:p>
        </w:tc>
        <w:tc>
          <w:tcPr>
            <w:tcW w:w="450" w:type="dxa"/>
            <w:tcBorders>
              <w:left w:val="single" w:sz="6" w:space="0" w:color="auto"/>
            </w:tcBorders>
          </w:tcPr>
          <w:p w14:paraId="6A8BC777" w14:textId="77777777" w:rsidR="005E6C8C" w:rsidRPr="00CA6574" w:rsidRDefault="005E6C8C" w:rsidP="005E6C8C">
            <w:pPr>
              <w:pStyle w:val="Level3"/>
            </w:pPr>
          </w:p>
        </w:tc>
        <w:tc>
          <w:tcPr>
            <w:tcW w:w="450" w:type="dxa"/>
            <w:tcBorders>
              <w:left w:val="single" w:sz="6" w:space="0" w:color="auto"/>
            </w:tcBorders>
          </w:tcPr>
          <w:p w14:paraId="0F70035D" w14:textId="77777777" w:rsidR="005E6C8C" w:rsidRPr="00CA6574" w:rsidRDefault="005E6C8C" w:rsidP="005E6C8C">
            <w:pPr>
              <w:pStyle w:val="Level3"/>
            </w:pPr>
          </w:p>
        </w:tc>
        <w:tc>
          <w:tcPr>
            <w:tcW w:w="1001" w:type="dxa"/>
            <w:tcBorders>
              <w:left w:val="single" w:sz="6" w:space="0" w:color="auto"/>
            </w:tcBorders>
          </w:tcPr>
          <w:p w14:paraId="573DC62C" w14:textId="77777777" w:rsidR="005E6C8C" w:rsidRPr="00CA6574" w:rsidRDefault="005E6C8C" w:rsidP="005E6C8C">
            <w:pPr>
              <w:pStyle w:val="Level3"/>
            </w:pPr>
          </w:p>
        </w:tc>
        <w:tc>
          <w:tcPr>
            <w:tcW w:w="1001" w:type="dxa"/>
            <w:tcBorders>
              <w:left w:val="single" w:sz="6" w:space="0" w:color="auto"/>
            </w:tcBorders>
          </w:tcPr>
          <w:p w14:paraId="77E87972" w14:textId="77777777" w:rsidR="005E6C8C" w:rsidRPr="00CA6574" w:rsidRDefault="005E6C8C" w:rsidP="005E6C8C">
            <w:pPr>
              <w:pStyle w:val="Level3"/>
            </w:pPr>
          </w:p>
        </w:tc>
      </w:tr>
      <w:tr w:rsidR="005E6C8C" w:rsidRPr="00CA6574" w14:paraId="54CB5F2F" w14:textId="77777777">
        <w:trPr>
          <w:cantSplit/>
        </w:trPr>
        <w:tc>
          <w:tcPr>
            <w:tcW w:w="6948" w:type="dxa"/>
          </w:tcPr>
          <w:p w14:paraId="79850725" w14:textId="0095313B" w:rsidR="005E6C8C" w:rsidRPr="00CA6574" w:rsidRDefault="005E6C8C" w:rsidP="005E6C8C">
            <w:pPr>
              <w:pStyle w:val="Level2"/>
            </w:pPr>
            <w:r w:rsidRPr="00CA6574">
              <w:tab/>
              <w:t>.10</w:t>
            </w:r>
            <w:r w:rsidRPr="00CA6574">
              <w:tab/>
              <w:t xml:space="preserve">Resignations of directors and officers and releases from them in </w:t>
            </w:r>
            <w:proofErr w:type="spellStart"/>
            <w:r w:rsidRPr="00CA6574">
              <w:t>favour</w:t>
            </w:r>
            <w:proofErr w:type="spellEnd"/>
            <w:r w:rsidRPr="00CA6574">
              <w:t xml:space="preserve"> of the target company (</w:t>
            </w:r>
            <w:r w:rsidR="006452C9">
              <w:t>n</w:t>
            </w:r>
            <w:r w:rsidRPr="00CA6574">
              <w:t>ote</w:t>
            </w:r>
            <w:r w:rsidR="006452C9">
              <w:t xml:space="preserve"> that</w:t>
            </w:r>
            <w:r w:rsidRPr="00CA6574">
              <w:t xml:space="preserve"> the vendor may request releases in </w:t>
            </w:r>
            <w:proofErr w:type="spellStart"/>
            <w:r w:rsidRPr="00CA6574">
              <w:t>favour</w:t>
            </w:r>
            <w:proofErr w:type="spellEnd"/>
            <w:r w:rsidRPr="00CA6574">
              <w:t xml:space="preserve"> of directors and officers)</w:t>
            </w:r>
            <w:r>
              <w:t>.</w:t>
            </w:r>
          </w:p>
        </w:tc>
        <w:tc>
          <w:tcPr>
            <w:tcW w:w="450" w:type="dxa"/>
            <w:tcBorders>
              <w:left w:val="single" w:sz="6" w:space="0" w:color="auto"/>
            </w:tcBorders>
          </w:tcPr>
          <w:p w14:paraId="7F701810" w14:textId="77777777" w:rsidR="005E6C8C" w:rsidRPr="00CA6574" w:rsidRDefault="005E6C8C" w:rsidP="005E6C8C">
            <w:pPr>
              <w:pStyle w:val="Level2"/>
            </w:pPr>
          </w:p>
        </w:tc>
        <w:tc>
          <w:tcPr>
            <w:tcW w:w="450" w:type="dxa"/>
            <w:tcBorders>
              <w:left w:val="single" w:sz="6" w:space="0" w:color="auto"/>
            </w:tcBorders>
          </w:tcPr>
          <w:p w14:paraId="0A582729" w14:textId="77777777" w:rsidR="005E6C8C" w:rsidRPr="00CA6574" w:rsidRDefault="005E6C8C" w:rsidP="005E6C8C">
            <w:pPr>
              <w:pStyle w:val="Level2"/>
            </w:pPr>
          </w:p>
        </w:tc>
        <w:tc>
          <w:tcPr>
            <w:tcW w:w="450" w:type="dxa"/>
            <w:tcBorders>
              <w:left w:val="single" w:sz="6" w:space="0" w:color="auto"/>
            </w:tcBorders>
          </w:tcPr>
          <w:p w14:paraId="72E3016B" w14:textId="77777777" w:rsidR="005E6C8C" w:rsidRPr="00CA6574" w:rsidRDefault="005E6C8C" w:rsidP="005E6C8C">
            <w:pPr>
              <w:pStyle w:val="Level2"/>
            </w:pPr>
          </w:p>
        </w:tc>
        <w:tc>
          <w:tcPr>
            <w:tcW w:w="1001" w:type="dxa"/>
            <w:tcBorders>
              <w:left w:val="single" w:sz="6" w:space="0" w:color="auto"/>
            </w:tcBorders>
          </w:tcPr>
          <w:p w14:paraId="09BA688D" w14:textId="77777777" w:rsidR="005E6C8C" w:rsidRPr="00CA6574" w:rsidRDefault="005E6C8C" w:rsidP="005E6C8C">
            <w:pPr>
              <w:pStyle w:val="Level2"/>
            </w:pPr>
          </w:p>
        </w:tc>
        <w:tc>
          <w:tcPr>
            <w:tcW w:w="1001" w:type="dxa"/>
            <w:tcBorders>
              <w:left w:val="single" w:sz="6" w:space="0" w:color="auto"/>
            </w:tcBorders>
          </w:tcPr>
          <w:p w14:paraId="4F49944E" w14:textId="77777777" w:rsidR="005E6C8C" w:rsidRPr="00CA6574" w:rsidRDefault="005E6C8C" w:rsidP="005E6C8C">
            <w:pPr>
              <w:pStyle w:val="Level2"/>
            </w:pPr>
          </w:p>
        </w:tc>
      </w:tr>
      <w:tr w:rsidR="005E6C8C" w:rsidRPr="00CA6574" w14:paraId="69701FEB" w14:textId="77777777">
        <w:trPr>
          <w:cantSplit/>
        </w:trPr>
        <w:tc>
          <w:tcPr>
            <w:tcW w:w="6948" w:type="dxa"/>
          </w:tcPr>
          <w:p w14:paraId="190F68AA" w14:textId="77777777" w:rsidR="005E6C8C" w:rsidRPr="00CA6574" w:rsidRDefault="005E6C8C" w:rsidP="005E6C8C">
            <w:pPr>
              <w:pStyle w:val="Level2"/>
            </w:pPr>
            <w:r w:rsidRPr="00CA6574">
              <w:tab/>
              <w:t>.11</w:t>
            </w:r>
            <w:r w:rsidRPr="00CA6574">
              <w:tab/>
              <w:t>Shareholders’ resolution appointing new directors.</w:t>
            </w:r>
          </w:p>
        </w:tc>
        <w:tc>
          <w:tcPr>
            <w:tcW w:w="450" w:type="dxa"/>
            <w:tcBorders>
              <w:left w:val="single" w:sz="6" w:space="0" w:color="auto"/>
            </w:tcBorders>
          </w:tcPr>
          <w:p w14:paraId="7F2F0C62" w14:textId="77777777" w:rsidR="005E6C8C" w:rsidRPr="00CA6574" w:rsidRDefault="005E6C8C" w:rsidP="005E6C8C">
            <w:pPr>
              <w:pStyle w:val="Level2"/>
            </w:pPr>
          </w:p>
        </w:tc>
        <w:tc>
          <w:tcPr>
            <w:tcW w:w="450" w:type="dxa"/>
            <w:tcBorders>
              <w:left w:val="single" w:sz="6" w:space="0" w:color="auto"/>
            </w:tcBorders>
          </w:tcPr>
          <w:p w14:paraId="4AFB0882" w14:textId="77777777" w:rsidR="005E6C8C" w:rsidRPr="00CA6574" w:rsidRDefault="005E6C8C" w:rsidP="005E6C8C">
            <w:pPr>
              <w:pStyle w:val="Level2"/>
            </w:pPr>
          </w:p>
        </w:tc>
        <w:tc>
          <w:tcPr>
            <w:tcW w:w="450" w:type="dxa"/>
            <w:tcBorders>
              <w:left w:val="single" w:sz="6" w:space="0" w:color="auto"/>
            </w:tcBorders>
          </w:tcPr>
          <w:p w14:paraId="1B823547" w14:textId="77777777" w:rsidR="005E6C8C" w:rsidRPr="00CA6574" w:rsidRDefault="005E6C8C" w:rsidP="005E6C8C">
            <w:pPr>
              <w:pStyle w:val="Level2"/>
            </w:pPr>
          </w:p>
        </w:tc>
        <w:tc>
          <w:tcPr>
            <w:tcW w:w="1001" w:type="dxa"/>
            <w:tcBorders>
              <w:left w:val="single" w:sz="6" w:space="0" w:color="auto"/>
            </w:tcBorders>
          </w:tcPr>
          <w:p w14:paraId="6D42944C" w14:textId="77777777" w:rsidR="005E6C8C" w:rsidRPr="00CA6574" w:rsidRDefault="005E6C8C" w:rsidP="005E6C8C">
            <w:pPr>
              <w:pStyle w:val="Level2"/>
            </w:pPr>
          </w:p>
        </w:tc>
        <w:tc>
          <w:tcPr>
            <w:tcW w:w="1001" w:type="dxa"/>
            <w:tcBorders>
              <w:left w:val="single" w:sz="6" w:space="0" w:color="auto"/>
            </w:tcBorders>
          </w:tcPr>
          <w:p w14:paraId="2E400798" w14:textId="77777777" w:rsidR="005E6C8C" w:rsidRPr="00CA6574" w:rsidRDefault="005E6C8C" w:rsidP="005E6C8C">
            <w:pPr>
              <w:pStyle w:val="Level2"/>
            </w:pPr>
          </w:p>
        </w:tc>
      </w:tr>
      <w:tr w:rsidR="005E6C8C" w:rsidRPr="00CA6574" w14:paraId="7A9767FB" w14:textId="77777777">
        <w:trPr>
          <w:cantSplit/>
        </w:trPr>
        <w:tc>
          <w:tcPr>
            <w:tcW w:w="6948" w:type="dxa"/>
          </w:tcPr>
          <w:p w14:paraId="0D856213" w14:textId="77777777" w:rsidR="005E6C8C" w:rsidRPr="00CA6574" w:rsidRDefault="005E6C8C" w:rsidP="005E6C8C">
            <w:pPr>
              <w:pStyle w:val="Level2"/>
            </w:pPr>
            <w:r w:rsidRPr="00CA6574">
              <w:tab/>
              <w:t>.12</w:t>
            </w:r>
            <w:r w:rsidRPr="00CA6574">
              <w:tab/>
              <w:t>Directors’ resolution appointing new officers.</w:t>
            </w:r>
          </w:p>
        </w:tc>
        <w:tc>
          <w:tcPr>
            <w:tcW w:w="450" w:type="dxa"/>
            <w:tcBorders>
              <w:left w:val="single" w:sz="6" w:space="0" w:color="auto"/>
            </w:tcBorders>
          </w:tcPr>
          <w:p w14:paraId="5110355D" w14:textId="77777777" w:rsidR="005E6C8C" w:rsidRPr="00CA6574" w:rsidRDefault="005E6C8C" w:rsidP="005E6C8C">
            <w:pPr>
              <w:pStyle w:val="Level2"/>
            </w:pPr>
          </w:p>
        </w:tc>
        <w:tc>
          <w:tcPr>
            <w:tcW w:w="450" w:type="dxa"/>
            <w:tcBorders>
              <w:left w:val="single" w:sz="6" w:space="0" w:color="auto"/>
            </w:tcBorders>
          </w:tcPr>
          <w:p w14:paraId="75DC0F0B" w14:textId="77777777" w:rsidR="005E6C8C" w:rsidRPr="00CA6574" w:rsidRDefault="005E6C8C" w:rsidP="005E6C8C">
            <w:pPr>
              <w:pStyle w:val="Level2"/>
            </w:pPr>
          </w:p>
        </w:tc>
        <w:tc>
          <w:tcPr>
            <w:tcW w:w="450" w:type="dxa"/>
            <w:tcBorders>
              <w:left w:val="single" w:sz="6" w:space="0" w:color="auto"/>
            </w:tcBorders>
          </w:tcPr>
          <w:p w14:paraId="163A062B" w14:textId="77777777" w:rsidR="005E6C8C" w:rsidRPr="00CA6574" w:rsidRDefault="005E6C8C" w:rsidP="005E6C8C">
            <w:pPr>
              <w:pStyle w:val="Level2"/>
            </w:pPr>
          </w:p>
        </w:tc>
        <w:tc>
          <w:tcPr>
            <w:tcW w:w="1001" w:type="dxa"/>
            <w:tcBorders>
              <w:left w:val="single" w:sz="6" w:space="0" w:color="auto"/>
            </w:tcBorders>
          </w:tcPr>
          <w:p w14:paraId="4B0B6C1F" w14:textId="77777777" w:rsidR="005E6C8C" w:rsidRPr="00CA6574" w:rsidRDefault="005E6C8C" w:rsidP="005E6C8C">
            <w:pPr>
              <w:pStyle w:val="Level2"/>
            </w:pPr>
          </w:p>
        </w:tc>
        <w:tc>
          <w:tcPr>
            <w:tcW w:w="1001" w:type="dxa"/>
            <w:tcBorders>
              <w:left w:val="single" w:sz="6" w:space="0" w:color="auto"/>
            </w:tcBorders>
          </w:tcPr>
          <w:p w14:paraId="103FCC90" w14:textId="77777777" w:rsidR="005E6C8C" w:rsidRPr="00CA6574" w:rsidRDefault="005E6C8C" w:rsidP="005E6C8C">
            <w:pPr>
              <w:pStyle w:val="Level2"/>
            </w:pPr>
          </w:p>
        </w:tc>
      </w:tr>
      <w:tr w:rsidR="005E6C8C" w:rsidRPr="00CA6574" w14:paraId="38DAF090" w14:textId="77777777">
        <w:trPr>
          <w:cantSplit/>
          <w:trHeight w:val="324"/>
        </w:trPr>
        <w:tc>
          <w:tcPr>
            <w:tcW w:w="6948" w:type="dxa"/>
          </w:tcPr>
          <w:p w14:paraId="1D7D06D1" w14:textId="77777777" w:rsidR="005E6C8C" w:rsidRPr="00CA6574" w:rsidRDefault="005E6C8C" w:rsidP="005E6C8C">
            <w:pPr>
              <w:pStyle w:val="Level2"/>
            </w:pPr>
            <w:r w:rsidRPr="00CA6574">
              <w:tab/>
              <w:t>.13</w:t>
            </w:r>
            <w:r w:rsidRPr="00CA6574">
              <w:tab/>
              <w:t>Third-party consents as necessary.</w:t>
            </w:r>
          </w:p>
        </w:tc>
        <w:tc>
          <w:tcPr>
            <w:tcW w:w="450" w:type="dxa"/>
            <w:tcBorders>
              <w:left w:val="single" w:sz="6" w:space="0" w:color="auto"/>
            </w:tcBorders>
          </w:tcPr>
          <w:p w14:paraId="607B325A" w14:textId="77777777" w:rsidR="005E6C8C" w:rsidRPr="00CA6574" w:rsidRDefault="005E6C8C" w:rsidP="005E6C8C">
            <w:pPr>
              <w:pStyle w:val="Level2"/>
            </w:pPr>
          </w:p>
        </w:tc>
        <w:tc>
          <w:tcPr>
            <w:tcW w:w="450" w:type="dxa"/>
            <w:tcBorders>
              <w:left w:val="single" w:sz="6" w:space="0" w:color="auto"/>
            </w:tcBorders>
          </w:tcPr>
          <w:p w14:paraId="714789E6" w14:textId="77777777" w:rsidR="005E6C8C" w:rsidRPr="00CA6574" w:rsidRDefault="005E6C8C" w:rsidP="005E6C8C">
            <w:pPr>
              <w:pStyle w:val="Level2"/>
            </w:pPr>
          </w:p>
        </w:tc>
        <w:tc>
          <w:tcPr>
            <w:tcW w:w="450" w:type="dxa"/>
            <w:tcBorders>
              <w:left w:val="single" w:sz="6" w:space="0" w:color="auto"/>
            </w:tcBorders>
          </w:tcPr>
          <w:p w14:paraId="60822946" w14:textId="77777777" w:rsidR="005E6C8C" w:rsidRPr="00CA6574" w:rsidRDefault="005E6C8C" w:rsidP="005E6C8C">
            <w:pPr>
              <w:pStyle w:val="Level2"/>
            </w:pPr>
          </w:p>
        </w:tc>
        <w:tc>
          <w:tcPr>
            <w:tcW w:w="1001" w:type="dxa"/>
            <w:tcBorders>
              <w:left w:val="single" w:sz="6" w:space="0" w:color="auto"/>
            </w:tcBorders>
          </w:tcPr>
          <w:p w14:paraId="7C7651D8" w14:textId="77777777" w:rsidR="005E6C8C" w:rsidRPr="00CA6574" w:rsidRDefault="005E6C8C" w:rsidP="005E6C8C">
            <w:pPr>
              <w:pStyle w:val="Level2"/>
            </w:pPr>
          </w:p>
        </w:tc>
        <w:tc>
          <w:tcPr>
            <w:tcW w:w="1001" w:type="dxa"/>
            <w:tcBorders>
              <w:left w:val="single" w:sz="6" w:space="0" w:color="auto"/>
            </w:tcBorders>
          </w:tcPr>
          <w:p w14:paraId="622ECF7E" w14:textId="77777777" w:rsidR="005E6C8C" w:rsidRPr="00CA6574" w:rsidRDefault="005E6C8C" w:rsidP="005E6C8C">
            <w:pPr>
              <w:pStyle w:val="Level2"/>
            </w:pPr>
          </w:p>
        </w:tc>
      </w:tr>
      <w:tr w:rsidR="005E6C8C" w:rsidRPr="00CA6574" w14:paraId="269FC34A" w14:textId="77777777">
        <w:trPr>
          <w:cantSplit/>
        </w:trPr>
        <w:tc>
          <w:tcPr>
            <w:tcW w:w="6948" w:type="dxa"/>
          </w:tcPr>
          <w:p w14:paraId="424B8B58" w14:textId="77777777" w:rsidR="005E6C8C" w:rsidRPr="00CA6574" w:rsidRDefault="005E6C8C" w:rsidP="005E6C8C">
            <w:pPr>
              <w:pStyle w:val="Level2"/>
            </w:pPr>
            <w:r w:rsidRPr="00CA6574">
              <w:tab/>
              <w:t>.14</w:t>
            </w:r>
            <w:r w:rsidRPr="00CA6574">
              <w:tab/>
              <w:t>Non-competition agreements.</w:t>
            </w:r>
          </w:p>
        </w:tc>
        <w:tc>
          <w:tcPr>
            <w:tcW w:w="450" w:type="dxa"/>
            <w:tcBorders>
              <w:left w:val="single" w:sz="6" w:space="0" w:color="auto"/>
            </w:tcBorders>
          </w:tcPr>
          <w:p w14:paraId="672D904C" w14:textId="77777777" w:rsidR="005E6C8C" w:rsidRPr="00CA6574" w:rsidRDefault="005E6C8C" w:rsidP="005E6C8C">
            <w:pPr>
              <w:pStyle w:val="Level2"/>
            </w:pPr>
          </w:p>
        </w:tc>
        <w:tc>
          <w:tcPr>
            <w:tcW w:w="450" w:type="dxa"/>
            <w:tcBorders>
              <w:left w:val="single" w:sz="6" w:space="0" w:color="auto"/>
            </w:tcBorders>
          </w:tcPr>
          <w:p w14:paraId="5A05B1F0" w14:textId="77777777" w:rsidR="005E6C8C" w:rsidRPr="00CA6574" w:rsidRDefault="005E6C8C" w:rsidP="005E6C8C">
            <w:pPr>
              <w:pStyle w:val="Level2"/>
            </w:pPr>
          </w:p>
        </w:tc>
        <w:tc>
          <w:tcPr>
            <w:tcW w:w="450" w:type="dxa"/>
            <w:tcBorders>
              <w:left w:val="single" w:sz="6" w:space="0" w:color="auto"/>
            </w:tcBorders>
          </w:tcPr>
          <w:p w14:paraId="27882778" w14:textId="77777777" w:rsidR="005E6C8C" w:rsidRPr="00CA6574" w:rsidRDefault="005E6C8C" w:rsidP="005E6C8C">
            <w:pPr>
              <w:pStyle w:val="Level2"/>
            </w:pPr>
          </w:p>
        </w:tc>
        <w:tc>
          <w:tcPr>
            <w:tcW w:w="1001" w:type="dxa"/>
            <w:tcBorders>
              <w:left w:val="single" w:sz="6" w:space="0" w:color="auto"/>
            </w:tcBorders>
          </w:tcPr>
          <w:p w14:paraId="2D5EF3EC" w14:textId="77777777" w:rsidR="005E6C8C" w:rsidRPr="00CA6574" w:rsidRDefault="005E6C8C" w:rsidP="005E6C8C">
            <w:pPr>
              <w:pStyle w:val="Level2"/>
            </w:pPr>
          </w:p>
        </w:tc>
        <w:tc>
          <w:tcPr>
            <w:tcW w:w="1001" w:type="dxa"/>
            <w:tcBorders>
              <w:left w:val="single" w:sz="6" w:space="0" w:color="auto"/>
            </w:tcBorders>
          </w:tcPr>
          <w:p w14:paraId="2EC06998" w14:textId="77777777" w:rsidR="005E6C8C" w:rsidRPr="00CA6574" w:rsidRDefault="005E6C8C" w:rsidP="005E6C8C">
            <w:pPr>
              <w:pStyle w:val="Level2"/>
            </w:pPr>
          </w:p>
        </w:tc>
      </w:tr>
      <w:tr w:rsidR="005E6C8C" w:rsidRPr="00CA6574" w14:paraId="68660F7B" w14:textId="77777777" w:rsidTr="007B77B0">
        <w:trPr>
          <w:cantSplit/>
          <w:trHeight w:val="216"/>
        </w:trPr>
        <w:tc>
          <w:tcPr>
            <w:tcW w:w="6948" w:type="dxa"/>
          </w:tcPr>
          <w:p w14:paraId="5A13A3E8" w14:textId="77777777" w:rsidR="005E6C8C" w:rsidRPr="00CA6574" w:rsidRDefault="005E6C8C" w:rsidP="005E6C8C">
            <w:pPr>
              <w:pStyle w:val="Level2"/>
            </w:pPr>
            <w:r w:rsidRPr="00CA6574">
              <w:tab/>
              <w:t>.15</w:t>
            </w:r>
            <w:r w:rsidRPr="00CA6574">
              <w:tab/>
              <w:t>Documentation transferring the registered and records office.</w:t>
            </w:r>
          </w:p>
        </w:tc>
        <w:tc>
          <w:tcPr>
            <w:tcW w:w="450" w:type="dxa"/>
            <w:tcBorders>
              <w:left w:val="single" w:sz="6" w:space="0" w:color="auto"/>
            </w:tcBorders>
          </w:tcPr>
          <w:p w14:paraId="3E83D3B2" w14:textId="77777777" w:rsidR="005E6C8C" w:rsidRPr="00CA6574" w:rsidRDefault="005E6C8C" w:rsidP="005E6C8C">
            <w:pPr>
              <w:pStyle w:val="Level2"/>
            </w:pPr>
          </w:p>
        </w:tc>
        <w:tc>
          <w:tcPr>
            <w:tcW w:w="450" w:type="dxa"/>
            <w:tcBorders>
              <w:left w:val="single" w:sz="6" w:space="0" w:color="auto"/>
            </w:tcBorders>
          </w:tcPr>
          <w:p w14:paraId="625D3A64" w14:textId="77777777" w:rsidR="005E6C8C" w:rsidRPr="00CA6574" w:rsidRDefault="005E6C8C" w:rsidP="005E6C8C">
            <w:pPr>
              <w:pStyle w:val="Level2"/>
            </w:pPr>
          </w:p>
        </w:tc>
        <w:tc>
          <w:tcPr>
            <w:tcW w:w="450" w:type="dxa"/>
            <w:tcBorders>
              <w:left w:val="single" w:sz="6" w:space="0" w:color="auto"/>
            </w:tcBorders>
          </w:tcPr>
          <w:p w14:paraId="2D95E94B" w14:textId="77777777" w:rsidR="005E6C8C" w:rsidRPr="00CA6574" w:rsidRDefault="005E6C8C" w:rsidP="005E6C8C">
            <w:pPr>
              <w:pStyle w:val="Level2"/>
            </w:pPr>
          </w:p>
        </w:tc>
        <w:tc>
          <w:tcPr>
            <w:tcW w:w="1001" w:type="dxa"/>
            <w:tcBorders>
              <w:left w:val="single" w:sz="6" w:space="0" w:color="auto"/>
            </w:tcBorders>
          </w:tcPr>
          <w:p w14:paraId="6B23A95A" w14:textId="77777777" w:rsidR="005E6C8C" w:rsidRPr="00CA6574" w:rsidRDefault="005E6C8C" w:rsidP="005E6C8C">
            <w:pPr>
              <w:pStyle w:val="Level2"/>
            </w:pPr>
          </w:p>
        </w:tc>
        <w:tc>
          <w:tcPr>
            <w:tcW w:w="1001" w:type="dxa"/>
            <w:tcBorders>
              <w:left w:val="single" w:sz="6" w:space="0" w:color="auto"/>
            </w:tcBorders>
          </w:tcPr>
          <w:p w14:paraId="5224C9FF" w14:textId="77777777" w:rsidR="005E6C8C" w:rsidRPr="00CA6574" w:rsidRDefault="005E6C8C" w:rsidP="005E6C8C">
            <w:pPr>
              <w:pStyle w:val="Level2"/>
            </w:pPr>
          </w:p>
        </w:tc>
      </w:tr>
      <w:tr w:rsidR="005E6C8C" w:rsidRPr="00CA6574" w14:paraId="296AD53D" w14:textId="77777777" w:rsidTr="00095A61">
        <w:trPr>
          <w:cantSplit/>
          <w:trHeight w:val="225"/>
        </w:trPr>
        <w:tc>
          <w:tcPr>
            <w:tcW w:w="6948" w:type="dxa"/>
          </w:tcPr>
          <w:p w14:paraId="4345C5F1" w14:textId="532F8B08" w:rsidR="005E6C8C" w:rsidRPr="00CA6574" w:rsidRDefault="005E6C8C" w:rsidP="005E6C8C">
            <w:pPr>
              <w:pStyle w:val="Level2"/>
            </w:pPr>
            <w:r w:rsidRPr="00CA6574">
              <w:tab/>
              <w:t>.16</w:t>
            </w:r>
            <w:r w:rsidRPr="00CA6574">
              <w:tab/>
            </w:r>
            <w:r>
              <w:t>Amendment of employment agreement terms, if any</w:t>
            </w:r>
            <w:r w:rsidRPr="00CA6574">
              <w:t>.</w:t>
            </w:r>
          </w:p>
        </w:tc>
        <w:tc>
          <w:tcPr>
            <w:tcW w:w="450" w:type="dxa"/>
            <w:tcBorders>
              <w:left w:val="single" w:sz="6" w:space="0" w:color="auto"/>
            </w:tcBorders>
          </w:tcPr>
          <w:p w14:paraId="66C787DD" w14:textId="77777777" w:rsidR="005E6C8C" w:rsidRPr="00CA6574" w:rsidRDefault="005E6C8C" w:rsidP="005E6C8C">
            <w:pPr>
              <w:pStyle w:val="Level2"/>
            </w:pPr>
          </w:p>
        </w:tc>
        <w:tc>
          <w:tcPr>
            <w:tcW w:w="450" w:type="dxa"/>
            <w:tcBorders>
              <w:left w:val="single" w:sz="6" w:space="0" w:color="auto"/>
            </w:tcBorders>
          </w:tcPr>
          <w:p w14:paraId="0FB416E9" w14:textId="77777777" w:rsidR="005E6C8C" w:rsidRPr="00CA6574" w:rsidRDefault="005E6C8C" w:rsidP="005E6C8C">
            <w:pPr>
              <w:pStyle w:val="Level2"/>
            </w:pPr>
          </w:p>
        </w:tc>
        <w:tc>
          <w:tcPr>
            <w:tcW w:w="450" w:type="dxa"/>
            <w:tcBorders>
              <w:left w:val="single" w:sz="6" w:space="0" w:color="auto"/>
            </w:tcBorders>
          </w:tcPr>
          <w:p w14:paraId="0ADF9229" w14:textId="77777777" w:rsidR="005E6C8C" w:rsidRPr="00CA6574" w:rsidRDefault="005E6C8C" w:rsidP="005E6C8C">
            <w:pPr>
              <w:pStyle w:val="Level2"/>
            </w:pPr>
          </w:p>
        </w:tc>
        <w:tc>
          <w:tcPr>
            <w:tcW w:w="1001" w:type="dxa"/>
            <w:tcBorders>
              <w:left w:val="single" w:sz="6" w:space="0" w:color="auto"/>
            </w:tcBorders>
          </w:tcPr>
          <w:p w14:paraId="3DF6D422" w14:textId="77777777" w:rsidR="005E6C8C" w:rsidRPr="00CA6574" w:rsidRDefault="005E6C8C" w:rsidP="005E6C8C">
            <w:pPr>
              <w:pStyle w:val="Level2"/>
            </w:pPr>
          </w:p>
        </w:tc>
        <w:tc>
          <w:tcPr>
            <w:tcW w:w="1001" w:type="dxa"/>
            <w:tcBorders>
              <w:left w:val="single" w:sz="6" w:space="0" w:color="auto"/>
            </w:tcBorders>
          </w:tcPr>
          <w:p w14:paraId="413500C1" w14:textId="77777777" w:rsidR="005E6C8C" w:rsidRPr="00CA6574" w:rsidRDefault="005E6C8C" w:rsidP="005E6C8C">
            <w:pPr>
              <w:pStyle w:val="Level2"/>
            </w:pPr>
          </w:p>
        </w:tc>
      </w:tr>
      <w:tr w:rsidR="005E6C8C" w:rsidRPr="00CA6574" w14:paraId="3D0A8CA4" w14:textId="77777777" w:rsidTr="00E07141">
        <w:trPr>
          <w:cantSplit/>
          <w:trHeight w:val="225"/>
        </w:trPr>
        <w:tc>
          <w:tcPr>
            <w:tcW w:w="6948" w:type="dxa"/>
          </w:tcPr>
          <w:p w14:paraId="2E6CC557" w14:textId="15ABFDA4" w:rsidR="005E6C8C" w:rsidRPr="00CA6574" w:rsidRDefault="005E6C8C" w:rsidP="005E6C8C">
            <w:pPr>
              <w:pStyle w:val="Level2"/>
            </w:pPr>
            <w:r w:rsidRPr="00CA6574">
              <w:tab/>
              <w:t>.1</w:t>
            </w:r>
            <w:r>
              <w:t>7</w:t>
            </w:r>
            <w:r w:rsidRPr="00CA6574">
              <w:tab/>
              <w:t>Discharges of loans/charges to be discharged on closing.</w:t>
            </w:r>
          </w:p>
        </w:tc>
        <w:tc>
          <w:tcPr>
            <w:tcW w:w="450" w:type="dxa"/>
            <w:tcBorders>
              <w:left w:val="single" w:sz="6" w:space="0" w:color="auto"/>
            </w:tcBorders>
          </w:tcPr>
          <w:p w14:paraId="1DDB646A" w14:textId="77777777" w:rsidR="005E6C8C" w:rsidRPr="00CA6574" w:rsidRDefault="005E6C8C" w:rsidP="005E6C8C">
            <w:pPr>
              <w:pStyle w:val="Level2"/>
            </w:pPr>
          </w:p>
        </w:tc>
        <w:tc>
          <w:tcPr>
            <w:tcW w:w="450" w:type="dxa"/>
            <w:tcBorders>
              <w:left w:val="single" w:sz="6" w:space="0" w:color="auto"/>
            </w:tcBorders>
          </w:tcPr>
          <w:p w14:paraId="04A7E6C4" w14:textId="77777777" w:rsidR="005E6C8C" w:rsidRPr="00CA6574" w:rsidRDefault="005E6C8C" w:rsidP="005E6C8C">
            <w:pPr>
              <w:pStyle w:val="Level2"/>
            </w:pPr>
          </w:p>
        </w:tc>
        <w:tc>
          <w:tcPr>
            <w:tcW w:w="450" w:type="dxa"/>
            <w:tcBorders>
              <w:left w:val="single" w:sz="6" w:space="0" w:color="auto"/>
            </w:tcBorders>
          </w:tcPr>
          <w:p w14:paraId="384C9FC8" w14:textId="77777777" w:rsidR="005E6C8C" w:rsidRPr="00CA6574" w:rsidRDefault="005E6C8C" w:rsidP="005E6C8C">
            <w:pPr>
              <w:pStyle w:val="Level2"/>
            </w:pPr>
          </w:p>
        </w:tc>
        <w:tc>
          <w:tcPr>
            <w:tcW w:w="1001" w:type="dxa"/>
            <w:tcBorders>
              <w:left w:val="single" w:sz="6" w:space="0" w:color="auto"/>
            </w:tcBorders>
          </w:tcPr>
          <w:p w14:paraId="6E9A866F" w14:textId="77777777" w:rsidR="005E6C8C" w:rsidRPr="00CA6574" w:rsidRDefault="005E6C8C" w:rsidP="005E6C8C">
            <w:pPr>
              <w:pStyle w:val="Level2"/>
            </w:pPr>
          </w:p>
        </w:tc>
        <w:tc>
          <w:tcPr>
            <w:tcW w:w="1001" w:type="dxa"/>
            <w:tcBorders>
              <w:left w:val="single" w:sz="6" w:space="0" w:color="auto"/>
            </w:tcBorders>
          </w:tcPr>
          <w:p w14:paraId="392434CE" w14:textId="77777777" w:rsidR="005E6C8C" w:rsidRPr="00CA6574" w:rsidRDefault="005E6C8C" w:rsidP="005E6C8C">
            <w:pPr>
              <w:pStyle w:val="Level2"/>
            </w:pPr>
          </w:p>
        </w:tc>
      </w:tr>
      <w:tr w:rsidR="005E6C8C" w:rsidRPr="00CA6574" w14:paraId="6E8DDD0D" w14:textId="77777777" w:rsidTr="007B77B0">
        <w:trPr>
          <w:cantSplit/>
          <w:trHeight w:val="405"/>
        </w:trPr>
        <w:tc>
          <w:tcPr>
            <w:tcW w:w="6948" w:type="dxa"/>
          </w:tcPr>
          <w:p w14:paraId="58C24632" w14:textId="77777777" w:rsidR="005E6C8C" w:rsidRPr="00CA6574" w:rsidRDefault="005E6C8C" w:rsidP="005E6C8C">
            <w:pPr>
              <w:pStyle w:val="Level111G1"/>
            </w:pPr>
            <w:r w:rsidRPr="00CA6574">
              <w:tab/>
              <w:t>5.2</w:t>
            </w:r>
            <w:r w:rsidRPr="00CA6574">
              <w:tab/>
              <w:t>Ensure that the conditions of the client’s obligation to close have been or will be satisfied.</w:t>
            </w:r>
          </w:p>
        </w:tc>
        <w:tc>
          <w:tcPr>
            <w:tcW w:w="450" w:type="dxa"/>
            <w:tcBorders>
              <w:left w:val="single" w:sz="6" w:space="0" w:color="auto"/>
            </w:tcBorders>
          </w:tcPr>
          <w:p w14:paraId="300BC51B" w14:textId="77777777" w:rsidR="005E6C8C" w:rsidRPr="00CA6574" w:rsidRDefault="005E6C8C" w:rsidP="005E6C8C">
            <w:pPr>
              <w:pStyle w:val="Level111G1"/>
            </w:pPr>
          </w:p>
        </w:tc>
        <w:tc>
          <w:tcPr>
            <w:tcW w:w="450" w:type="dxa"/>
            <w:tcBorders>
              <w:left w:val="single" w:sz="6" w:space="0" w:color="auto"/>
            </w:tcBorders>
          </w:tcPr>
          <w:p w14:paraId="4E956796" w14:textId="77777777" w:rsidR="005E6C8C" w:rsidRPr="00CA6574" w:rsidRDefault="005E6C8C" w:rsidP="005E6C8C">
            <w:pPr>
              <w:pStyle w:val="Level111G1"/>
            </w:pPr>
          </w:p>
        </w:tc>
        <w:tc>
          <w:tcPr>
            <w:tcW w:w="450" w:type="dxa"/>
            <w:tcBorders>
              <w:left w:val="single" w:sz="6" w:space="0" w:color="auto"/>
            </w:tcBorders>
          </w:tcPr>
          <w:p w14:paraId="54B3C9F8" w14:textId="77777777" w:rsidR="005E6C8C" w:rsidRPr="00CA6574" w:rsidRDefault="005E6C8C" w:rsidP="005E6C8C">
            <w:pPr>
              <w:pStyle w:val="Level111G1"/>
            </w:pPr>
          </w:p>
        </w:tc>
        <w:tc>
          <w:tcPr>
            <w:tcW w:w="1001" w:type="dxa"/>
            <w:tcBorders>
              <w:left w:val="single" w:sz="6" w:space="0" w:color="auto"/>
            </w:tcBorders>
          </w:tcPr>
          <w:p w14:paraId="10581F31" w14:textId="77777777" w:rsidR="005E6C8C" w:rsidRPr="00CA6574" w:rsidRDefault="005E6C8C" w:rsidP="005E6C8C">
            <w:pPr>
              <w:pStyle w:val="Level111G1"/>
            </w:pPr>
          </w:p>
        </w:tc>
        <w:tc>
          <w:tcPr>
            <w:tcW w:w="1001" w:type="dxa"/>
            <w:tcBorders>
              <w:left w:val="single" w:sz="6" w:space="0" w:color="auto"/>
            </w:tcBorders>
          </w:tcPr>
          <w:p w14:paraId="1FB14417" w14:textId="77777777" w:rsidR="005E6C8C" w:rsidRPr="00CA6574" w:rsidRDefault="005E6C8C" w:rsidP="005E6C8C">
            <w:pPr>
              <w:pStyle w:val="Level111G1"/>
            </w:pPr>
          </w:p>
        </w:tc>
      </w:tr>
      <w:tr w:rsidR="005E6C8C" w:rsidRPr="00CA6574" w14:paraId="1D54157B" w14:textId="77777777" w:rsidTr="00E70FC8">
        <w:trPr>
          <w:cantSplit/>
          <w:trHeight w:val="603"/>
        </w:trPr>
        <w:tc>
          <w:tcPr>
            <w:tcW w:w="6948" w:type="dxa"/>
          </w:tcPr>
          <w:p w14:paraId="53662C7D" w14:textId="77777777" w:rsidR="005E6C8C" w:rsidRPr="00CA6574" w:rsidRDefault="005E6C8C" w:rsidP="005E6C8C">
            <w:pPr>
              <w:pStyle w:val="Level111G1"/>
            </w:pPr>
            <w:r w:rsidRPr="00CA6574">
              <w:tab/>
              <w:t>5.3</w:t>
            </w:r>
            <w:r w:rsidRPr="00CA6574">
              <w:tab/>
              <w:t>Complete the financial arrangements.</w:t>
            </w:r>
          </w:p>
        </w:tc>
        <w:tc>
          <w:tcPr>
            <w:tcW w:w="450" w:type="dxa"/>
            <w:tcBorders>
              <w:left w:val="single" w:sz="6" w:space="0" w:color="auto"/>
            </w:tcBorders>
          </w:tcPr>
          <w:p w14:paraId="11C59F7D" w14:textId="77777777" w:rsidR="005E6C8C" w:rsidRPr="00CA6574" w:rsidRDefault="005E6C8C" w:rsidP="005E6C8C">
            <w:pPr>
              <w:pStyle w:val="Level111G1"/>
            </w:pPr>
          </w:p>
        </w:tc>
        <w:tc>
          <w:tcPr>
            <w:tcW w:w="450" w:type="dxa"/>
            <w:tcBorders>
              <w:left w:val="single" w:sz="6" w:space="0" w:color="auto"/>
            </w:tcBorders>
          </w:tcPr>
          <w:p w14:paraId="65843D59" w14:textId="77777777" w:rsidR="005E6C8C" w:rsidRPr="00CA6574" w:rsidRDefault="005E6C8C" w:rsidP="005E6C8C">
            <w:pPr>
              <w:pStyle w:val="Level111G1"/>
            </w:pPr>
          </w:p>
        </w:tc>
        <w:tc>
          <w:tcPr>
            <w:tcW w:w="450" w:type="dxa"/>
            <w:tcBorders>
              <w:left w:val="single" w:sz="6" w:space="0" w:color="auto"/>
            </w:tcBorders>
          </w:tcPr>
          <w:p w14:paraId="1D326F5A" w14:textId="77777777" w:rsidR="005E6C8C" w:rsidRPr="00CA6574" w:rsidRDefault="005E6C8C" w:rsidP="005E6C8C">
            <w:pPr>
              <w:pStyle w:val="Level111G1"/>
            </w:pPr>
          </w:p>
        </w:tc>
        <w:tc>
          <w:tcPr>
            <w:tcW w:w="1001" w:type="dxa"/>
            <w:tcBorders>
              <w:left w:val="single" w:sz="6" w:space="0" w:color="auto"/>
            </w:tcBorders>
          </w:tcPr>
          <w:p w14:paraId="32E69860" w14:textId="77777777" w:rsidR="005E6C8C" w:rsidRPr="00CA6574" w:rsidRDefault="005E6C8C" w:rsidP="005E6C8C">
            <w:pPr>
              <w:pStyle w:val="Level111G1"/>
            </w:pPr>
          </w:p>
        </w:tc>
        <w:tc>
          <w:tcPr>
            <w:tcW w:w="1001" w:type="dxa"/>
            <w:tcBorders>
              <w:left w:val="single" w:sz="6" w:space="0" w:color="auto"/>
            </w:tcBorders>
          </w:tcPr>
          <w:p w14:paraId="53707C0E" w14:textId="77777777" w:rsidR="005E6C8C" w:rsidRPr="00CA6574" w:rsidRDefault="005E6C8C" w:rsidP="005E6C8C">
            <w:pPr>
              <w:pStyle w:val="Level111G1"/>
            </w:pPr>
          </w:p>
        </w:tc>
      </w:tr>
      <w:tr w:rsidR="005E6C8C" w:rsidRPr="00CA6574" w14:paraId="5A6D8BB3" w14:textId="77777777" w:rsidTr="00A30C1A">
        <w:trPr>
          <w:cantSplit/>
          <w:trHeight w:val="234"/>
        </w:trPr>
        <w:tc>
          <w:tcPr>
            <w:tcW w:w="6948" w:type="dxa"/>
          </w:tcPr>
          <w:p w14:paraId="3DC8D4D8" w14:textId="77777777" w:rsidR="005E6C8C" w:rsidRPr="00CA6574" w:rsidRDefault="005E6C8C" w:rsidP="005E6C8C">
            <w:pPr>
              <w:pStyle w:val="Level111G1"/>
            </w:pPr>
            <w:r w:rsidRPr="00CA6574">
              <w:lastRenderedPageBreak/>
              <w:tab/>
              <w:t>5.4</w:t>
            </w:r>
            <w:r w:rsidRPr="00CA6574">
              <w:tab/>
              <w:t>Prepare the final draft of the closing agenda.</w:t>
            </w:r>
          </w:p>
        </w:tc>
        <w:tc>
          <w:tcPr>
            <w:tcW w:w="450" w:type="dxa"/>
            <w:tcBorders>
              <w:left w:val="single" w:sz="6" w:space="0" w:color="auto"/>
            </w:tcBorders>
          </w:tcPr>
          <w:p w14:paraId="5C9A2F0B" w14:textId="77777777" w:rsidR="005E6C8C" w:rsidRPr="00CA6574" w:rsidRDefault="005E6C8C" w:rsidP="005E6C8C">
            <w:pPr>
              <w:pStyle w:val="Level111G1"/>
            </w:pPr>
          </w:p>
        </w:tc>
        <w:tc>
          <w:tcPr>
            <w:tcW w:w="450" w:type="dxa"/>
            <w:tcBorders>
              <w:left w:val="single" w:sz="6" w:space="0" w:color="auto"/>
            </w:tcBorders>
          </w:tcPr>
          <w:p w14:paraId="220BAB44" w14:textId="77777777" w:rsidR="005E6C8C" w:rsidRPr="00CA6574" w:rsidRDefault="005E6C8C" w:rsidP="005E6C8C">
            <w:pPr>
              <w:pStyle w:val="Level111G1"/>
            </w:pPr>
          </w:p>
        </w:tc>
        <w:tc>
          <w:tcPr>
            <w:tcW w:w="450" w:type="dxa"/>
            <w:tcBorders>
              <w:left w:val="single" w:sz="6" w:space="0" w:color="auto"/>
            </w:tcBorders>
          </w:tcPr>
          <w:p w14:paraId="34B60341" w14:textId="77777777" w:rsidR="005E6C8C" w:rsidRPr="00CA6574" w:rsidRDefault="005E6C8C" w:rsidP="005E6C8C">
            <w:pPr>
              <w:pStyle w:val="Level111G1"/>
            </w:pPr>
          </w:p>
        </w:tc>
        <w:tc>
          <w:tcPr>
            <w:tcW w:w="1001" w:type="dxa"/>
            <w:tcBorders>
              <w:left w:val="single" w:sz="6" w:space="0" w:color="auto"/>
            </w:tcBorders>
          </w:tcPr>
          <w:p w14:paraId="45A7AD41" w14:textId="77777777" w:rsidR="005E6C8C" w:rsidRPr="00CA6574" w:rsidRDefault="005E6C8C" w:rsidP="005E6C8C">
            <w:pPr>
              <w:pStyle w:val="Level111G1"/>
            </w:pPr>
          </w:p>
        </w:tc>
        <w:tc>
          <w:tcPr>
            <w:tcW w:w="1001" w:type="dxa"/>
            <w:tcBorders>
              <w:left w:val="single" w:sz="6" w:space="0" w:color="auto"/>
            </w:tcBorders>
          </w:tcPr>
          <w:p w14:paraId="4CAE6BE2" w14:textId="77777777" w:rsidR="005E6C8C" w:rsidRPr="00CA6574" w:rsidRDefault="005E6C8C" w:rsidP="005E6C8C">
            <w:pPr>
              <w:pStyle w:val="Level111G1"/>
            </w:pPr>
          </w:p>
        </w:tc>
      </w:tr>
      <w:tr w:rsidR="005E6C8C" w:rsidRPr="00CA6574" w14:paraId="1B19059A" w14:textId="77777777">
        <w:trPr>
          <w:cantSplit/>
        </w:trPr>
        <w:tc>
          <w:tcPr>
            <w:tcW w:w="6948" w:type="dxa"/>
          </w:tcPr>
          <w:p w14:paraId="3795409F" w14:textId="2FDBC466" w:rsidR="005E6C8C" w:rsidRPr="00CA6574" w:rsidRDefault="005E6C8C" w:rsidP="005E6C8C">
            <w:pPr>
              <w:pStyle w:val="Level111G1"/>
            </w:pPr>
            <w:r w:rsidRPr="00CA6574">
              <w:tab/>
              <w:t>5.5</w:t>
            </w:r>
            <w:r w:rsidRPr="00CA6574">
              <w:tab/>
              <w:t xml:space="preserve">Have the parties sign the necessary documentation prior to closing (to be held in escrow pending closing, if tabled) and </w:t>
            </w:r>
            <w:r>
              <w:t>coordinate</w:t>
            </w:r>
            <w:r w:rsidRPr="00CA6574">
              <w:t xml:space="preserve"> the documents for each party.</w:t>
            </w:r>
            <w:r>
              <w:t xml:space="preserve"> If using DocuSign or similar technology for document signing, obtain all applicable email addresses for the purchaser-side signatories; seek the vendor’s counsel’s consent if intending to send documents for signing directly to the vendor.</w:t>
            </w:r>
          </w:p>
        </w:tc>
        <w:tc>
          <w:tcPr>
            <w:tcW w:w="450" w:type="dxa"/>
            <w:tcBorders>
              <w:left w:val="single" w:sz="6" w:space="0" w:color="auto"/>
            </w:tcBorders>
          </w:tcPr>
          <w:p w14:paraId="73DCF17F" w14:textId="77777777" w:rsidR="005E6C8C" w:rsidRPr="00CA6574" w:rsidRDefault="005E6C8C" w:rsidP="005E6C8C">
            <w:pPr>
              <w:pStyle w:val="Level111G1"/>
            </w:pPr>
          </w:p>
        </w:tc>
        <w:tc>
          <w:tcPr>
            <w:tcW w:w="450" w:type="dxa"/>
            <w:tcBorders>
              <w:left w:val="single" w:sz="6" w:space="0" w:color="auto"/>
            </w:tcBorders>
          </w:tcPr>
          <w:p w14:paraId="7E2977E4" w14:textId="77777777" w:rsidR="005E6C8C" w:rsidRPr="00CA6574" w:rsidRDefault="005E6C8C" w:rsidP="005E6C8C">
            <w:pPr>
              <w:pStyle w:val="Level111G1"/>
            </w:pPr>
          </w:p>
        </w:tc>
        <w:tc>
          <w:tcPr>
            <w:tcW w:w="450" w:type="dxa"/>
            <w:tcBorders>
              <w:left w:val="single" w:sz="6" w:space="0" w:color="auto"/>
            </w:tcBorders>
          </w:tcPr>
          <w:p w14:paraId="17E94F1B" w14:textId="77777777" w:rsidR="005E6C8C" w:rsidRPr="00CA6574" w:rsidRDefault="005E6C8C" w:rsidP="005E6C8C">
            <w:pPr>
              <w:pStyle w:val="Level111G1"/>
            </w:pPr>
          </w:p>
        </w:tc>
        <w:tc>
          <w:tcPr>
            <w:tcW w:w="1001" w:type="dxa"/>
            <w:tcBorders>
              <w:left w:val="single" w:sz="6" w:space="0" w:color="auto"/>
            </w:tcBorders>
          </w:tcPr>
          <w:p w14:paraId="6C8C7A39" w14:textId="77777777" w:rsidR="005E6C8C" w:rsidRPr="00CA6574" w:rsidRDefault="005E6C8C" w:rsidP="005E6C8C">
            <w:pPr>
              <w:pStyle w:val="Level111G1"/>
            </w:pPr>
          </w:p>
        </w:tc>
        <w:tc>
          <w:tcPr>
            <w:tcW w:w="1001" w:type="dxa"/>
            <w:tcBorders>
              <w:left w:val="single" w:sz="6" w:space="0" w:color="auto"/>
            </w:tcBorders>
          </w:tcPr>
          <w:p w14:paraId="6439DE7B" w14:textId="77777777" w:rsidR="005E6C8C" w:rsidRPr="00CA6574" w:rsidRDefault="005E6C8C" w:rsidP="005E6C8C">
            <w:pPr>
              <w:pStyle w:val="Level111G1"/>
            </w:pPr>
          </w:p>
        </w:tc>
      </w:tr>
      <w:tr w:rsidR="005E6C8C" w:rsidRPr="00CA6574" w14:paraId="4C7324B7" w14:textId="77777777">
        <w:trPr>
          <w:cantSplit/>
        </w:trPr>
        <w:tc>
          <w:tcPr>
            <w:tcW w:w="6948" w:type="dxa"/>
          </w:tcPr>
          <w:p w14:paraId="29F8B485" w14:textId="77777777" w:rsidR="005E6C8C" w:rsidRPr="00CA6574" w:rsidRDefault="005E6C8C" w:rsidP="005E6C8C">
            <w:pPr>
              <w:pStyle w:val="Level111G1"/>
            </w:pPr>
            <w:r w:rsidRPr="00CA6574">
              <w:tab/>
              <w:t>5.6</w:t>
            </w:r>
            <w:r w:rsidRPr="00CA6574">
              <w:tab/>
              <w:t>Update searches for closing.</w:t>
            </w:r>
          </w:p>
        </w:tc>
        <w:tc>
          <w:tcPr>
            <w:tcW w:w="450" w:type="dxa"/>
            <w:tcBorders>
              <w:left w:val="single" w:sz="6" w:space="0" w:color="auto"/>
            </w:tcBorders>
          </w:tcPr>
          <w:p w14:paraId="45322869" w14:textId="77777777" w:rsidR="005E6C8C" w:rsidRPr="00CA6574" w:rsidRDefault="005E6C8C" w:rsidP="005E6C8C">
            <w:pPr>
              <w:pStyle w:val="Level111G1"/>
            </w:pPr>
          </w:p>
        </w:tc>
        <w:tc>
          <w:tcPr>
            <w:tcW w:w="450" w:type="dxa"/>
            <w:tcBorders>
              <w:left w:val="single" w:sz="6" w:space="0" w:color="auto"/>
            </w:tcBorders>
          </w:tcPr>
          <w:p w14:paraId="304512AC" w14:textId="77777777" w:rsidR="005E6C8C" w:rsidRPr="00CA6574" w:rsidRDefault="005E6C8C" w:rsidP="005E6C8C">
            <w:pPr>
              <w:pStyle w:val="Level111G1"/>
            </w:pPr>
          </w:p>
        </w:tc>
        <w:tc>
          <w:tcPr>
            <w:tcW w:w="450" w:type="dxa"/>
            <w:tcBorders>
              <w:left w:val="single" w:sz="6" w:space="0" w:color="auto"/>
            </w:tcBorders>
          </w:tcPr>
          <w:p w14:paraId="64EA11BF" w14:textId="77777777" w:rsidR="005E6C8C" w:rsidRPr="00CA6574" w:rsidRDefault="005E6C8C" w:rsidP="005E6C8C">
            <w:pPr>
              <w:pStyle w:val="Level111G1"/>
            </w:pPr>
          </w:p>
        </w:tc>
        <w:tc>
          <w:tcPr>
            <w:tcW w:w="1001" w:type="dxa"/>
            <w:tcBorders>
              <w:left w:val="single" w:sz="6" w:space="0" w:color="auto"/>
            </w:tcBorders>
          </w:tcPr>
          <w:p w14:paraId="02B7AE3F" w14:textId="77777777" w:rsidR="005E6C8C" w:rsidRPr="00CA6574" w:rsidRDefault="005E6C8C" w:rsidP="005E6C8C">
            <w:pPr>
              <w:pStyle w:val="Level111G1"/>
            </w:pPr>
          </w:p>
        </w:tc>
        <w:tc>
          <w:tcPr>
            <w:tcW w:w="1001" w:type="dxa"/>
            <w:tcBorders>
              <w:left w:val="single" w:sz="6" w:space="0" w:color="auto"/>
            </w:tcBorders>
          </w:tcPr>
          <w:p w14:paraId="5BA462E7" w14:textId="77777777" w:rsidR="005E6C8C" w:rsidRPr="00CA6574" w:rsidRDefault="005E6C8C" w:rsidP="005E6C8C">
            <w:pPr>
              <w:pStyle w:val="Level111G1"/>
            </w:pPr>
          </w:p>
        </w:tc>
      </w:tr>
      <w:tr w:rsidR="005E6C8C" w:rsidRPr="00CA6574" w14:paraId="63DCACA7" w14:textId="77777777">
        <w:trPr>
          <w:cantSplit/>
        </w:trPr>
        <w:tc>
          <w:tcPr>
            <w:tcW w:w="6948" w:type="dxa"/>
          </w:tcPr>
          <w:p w14:paraId="7854676E" w14:textId="77777777" w:rsidR="005E6C8C" w:rsidRPr="00CA6574" w:rsidRDefault="005E6C8C" w:rsidP="005E6C8C">
            <w:pPr>
              <w:pStyle w:val="Level111G1"/>
            </w:pPr>
            <w:r w:rsidRPr="00CA6574">
              <w:tab/>
              <w:t>5.7</w:t>
            </w:r>
            <w:r w:rsidRPr="00CA6574">
              <w:tab/>
              <w:t>Obtain cheques, or receipts for cheques, as necessary.</w:t>
            </w:r>
          </w:p>
        </w:tc>
        <w:tc>
          <w:tcPr>
            <w:tcW w:w="450" w:type="dxa"/>
            <w:tcBorders>
              <w:left w:val="single" w:sz="6" w:space="0" w:color="auto"/>
            </w:tcBorders>
          </w:tcPr>
          <w:p w14:paraId="5910D6D4" w14:textId="77777777" w:rsidR="005E6C8C" w:rsidRPr="00CA6574" w:rsidRDefault="005E6C8C" w:rsidP="005E6C8C">
            <w:pPr>
              <w:pStyle w:val="Level111G1"/>
            </w:pPr>
          </w:p>
        </w:tc>
        <w:tc>
          <w:tcPr>
            <w:tcW w:w="450" w:type="dxa"/>
            <w:tcBorders>
              <w:left w:val="single" w:sz="6" w:space="0" w:color="auto"/>
            </w:tcBorders>
          </w:tcPr>
          <w:p w14:paraId="760E6432" w14:textId="77777777" w:rsidR="005E6C8C" w:rsidRPr="00CA6574" w:rsidRDefault="005E6C8C" w:rsidP="005E6C8C">
            <w:pPr>
              <w:pStyle w:val="Level111G1"/>
            </w:pPr>
          </w:p>
        </w:tc>
        <w:tc>
          <w:tcPr>
            <w:tcW w:w="450" w:type="dxa"/>
            <w:tcBorders>
              <w:left w:val="single" w:sz="6" w:space="0" w:color="auto"/>
            </w:tcBorders>
          </w:tcPr>
          <w:p w14:paraId="2126C28F" w14:textId="77777777" w:rsidR="005E6C8C" w:rsidRPr="00CA6574" w:rsidRDefault="005E6C8C" w:rsidP="005E6C8C">
            <w:pPr>
              <w:pStyle w:val="Level111G1"/>
            </w:pPr>
          </w:p>
        </w:tc>
        <w:tc>
          <w:tcPr>
            <w:tcW w:w="1001" w:type="dxa"/>
            <w:tcBorders>
              <w:left w:val="single" w:sz="6" w:space="0" w:color="auto"/>
            </w:tcBorders>
          </w:tcPr>
          <w:p w14:paraId="6702AD1B" w14:textId="77777777" w:rsidR="005E6C8C" w:rsidRPr="00CA6574" w:rsidRDefault="005E6C8C" w:rsidP="005E6C8C">
            <w:pPr>
              <w:pStyle w:val="Level111G1"/>
            </w:pPr>
          </w:p>
        </w:tc>
        <w:tc>
          <w:tcPr>
            <w:tcW w:w="1001" w:type="dxa"/>
            <w:tcBorders>
              <w:left w:val="single" w:sz="6" w:space="0" w:color="auto"/>
            </w:tcBorders>
          </w:tcPr>
          <w:p w14:paraId="6CB7D7BF" w14:textId="77777777" w:rsidR="005E6C8C" w:rsidRPr="00CA6574" w:rsidRDefault="005E6C8C" w:rsidP="005E6C8C">
            <w:pPr>
              <w:pStyle w:val="Level111G1"/>
            </w:pPr>
          </w:p>
        </w:tc>
      </w:tr>
      <w:tr w:rsidR="005E6C8C" w:rsidRPr="00CA6574" w14:paraId="14D41133" w14:textId="77777777" w:rsidTr="003C15C4">
        <w:trPr>
          <w:cantSplit/>
          <w:trHeight w:val="594"/>
        </w:trPr>
        <w:tc>
          <w:tcPr>
            <w:tcW w:w="6948" w:type="dxa"/>
          </w:tcPr>
          <w:p w14:paraId="23D85CA9" w14:textId="77777777" w:rsidR="005E6C8C" w:rsidRPr="00CA6574" w:rsidRDefault="005E6C8C" w:rsidP="005E6C8C">
            <w:pPr>
              <w:pStyle w:val="Level111G1"/>
            </w:pPr>
            <w:r w:rsidRPr="00CA6574">
              <w:tab/>
              <w:t>5.8</w:t>
            </w:r>
            <w:r w:rsidRPr="00CA6574">
              <w:tab/>
              <w:t xml:space="preserve">Consider application of the </w:t>
            </w:r>
            <w:r w:rsidRPr="00CA6574">
              <w:rPr>
                <w:rStyle w:val="ItalicsI1"/>
              </w:rPr>
              <w:t>Proceeds of Crime (Money Laundering) and Terrorist Financing Act</w:t>
            </w:r>
            <w:r w:rsidRPr="00CA6574">
              <w:t>, S.C. 2000, c. 17.</w:t>
            </w:r>
          </w:p>
        </w:tc>
        <w:tc>
          <w:tcPr>
            <w:tcW w:w="450" w:type="dxa"/>
            <w:tcBorders>
              <w:left w:val="single" w:sz="6" w:space="0" w:color="auto"/>
            </w:tcBorders>
          </w:tcPr>
          <w:p w14:paraId="3E6778A4" w14:textId="77777777" w:rsidR="005E6C8C" w:rsidRPr="00CA6574" w:rsidRDefault="005E6C8C" w:rsidP="005E6C8C">
            <w:pPr>
              <w:pStyle w:val="Level111G1"/>
            </w:pPr>
          </w:p>
        </w:tc>
        <w:tc>
          <w:tcPr>
            <w:tcW w:w="450" w:type="dxa"/>
            <w:tcBorders>
              <w:left w:val="single" w:sz="6" w:space="0" w:color="auto"/>
            </w:tcBorders>
          </w:tcPr>
          <w:p w14:paraId="228BFCBA" w14:textId="77777777" w:rsidR="005E6C8C" w:rsidRPr="00CA6574" w:rsidRDefault="005E6C8C" w:rsidP="005E6C8C">
            <w:pPr>
              <w:pStyle w:val="Level111G1"/>
            </w:pPr>
          </w:p>
        </w:tc>
        <w:tc>
          <w:tcPr>
            <w:tcW w:w="450" w:type="dxa"/>
            <w:tcBorders>
              <w:left w:val="single" w:sz="6" w:space="0" w:color="auto"/>
            </w:tcBorders>
          </w:tcPr>
          <w:p w14:paraId="6F6B3A8B" w14:textId="77777777" w:rsidR="005E6C8C" w:rsidRPr="00CA6574" w:rsidRDefault="005E6C8C" w:rsidP="005E6C8C">
            <w:pPr>
              <w:pStyle w:val="Level111G1"/>
            </w:pPr>
          </w:p>
        </w:tc>
        <w:tc>
          <w:tcPr>
            <w:tcW w:w="1001" w:type="dxa"/>
            <w:tcBorders>
              <w:left w:val="single" w:sz="6" w:space="0" w:color="auto"/>
            </w:tcBorders>
          </w:tcPr>
          <w:p w14:paraId="7FB1D191" w14:textId="77777777" w:rsidR="005E6C8C" w:rsidRPr="00CA6574" w:rsidRDefault="005E6C8C" w:rsidP="005E6C8C">
            <w:pPr>
              <w:pStyle w:val="Level111G1"/>
            </w:pPr>
          </w:p>
        </w:tc>
        <w:tc>
          <w:tcPr>
            <w:tcW w:w="1001" w:type="dxa"/>
            <w:tcBorders>
              <w:left w:val="single" w:sz="6" w:space="0" w:color="auto"/>
            </w:tcBorders>
          </w:tcPr>
          <w:p w14:paraId="63C1973E" w14:textId="77777777" w:rsidR="005E6C8C" w:rsidRPr="00CA6574" w:rsidRDefault="005E6C8C" w:rsidP="005E6C8C">
            <w:pPr>
              <w:pStyle w:val="Level111G1"/>
            </w:pPr>
          </w:p>
        </w:tc>
      </w:tr>
      <w:tr w:rsidR="005E6C8C" w:rsidRPr="00CA6574" w14:paraId="573496BB" w14:textId="77777777" w:rsidTr="00DB7349">
        <w:trPr>
          <w:cantSplit/>
          <w:trHeight w:val="540"/>
        </w:trPr>
        <w:tc>
          <w:tcPr>
            <w:tcW w:w="6948" w:type="dxa"/>
          </w:tcPr>
          <w:p w14:paraId="26A485AE" w14:textId="77777777" w:rsidR="005E6C8C" w:rsidRPr="00CA6574" w:rsidRDefault="005E6C8C" w:rsidP="005E6C8C">
            <w:pPr>
              <w:pStyle w:val="Level111G1"/>
            </w:pPr>
            <w:r>
              <w:tab/>
              <w:t>5.9</w:t>
            </w:r>
            <w:r w:rsidRPr="00CA6574">
              <w:tab/>
            </w:r>
            <w:r>
              <w:t>Attend to or advise client to attend to any insurance matters for the target entity and business to be acquired.</w:t>
            </w:r>
          </w:p>
        </w:tc>
        <w:tc>
          <w:tcPr>
            <w:tcW w:w="450" w:type="dxa"/>
            <w:tcBorders>
              <w:left w:val="single" w:sz="6" w:space="0" w:color="auto"/>
            </w:tcBorders>
          </w:tcPr>
          <w:p w14:paraId="10A927E0" w14:textId="77777777" w:rsidR="005E6C8C" w:rsidRPr="00CA6574" w:rsidRDefault="005E6C8C" w:rsidP="005E6C8C">
            <w:pPr>
              <w:pStyle w:val="Level111G1"/>
            </w:pPr>
          </w:p>
        </w:tc>
        <w:tc>
          <w:tcPr>
            <w:tcW w:w="450" w:type="dxa"/>
            <w:tcBorders>
              <w:left w:val="single" w:sz="6" w:space="0" w:color="auto"/>
            </w:tcBorders>
          </w:tcPr>
          <w:p w14:paraId="446B70AD" w14:textId="77777777" w:rsidR="005E6C8C" w:rsidRPr="00CA6574" w:rsidRDefault="005E6C8C" w:rsidP="005E6C8C">
            <w:pPr>
              <w:pStyle w:val="Level111G1"/>
            </w:pPr>
          </w:p>
        </w:tc>
        <w:tc>
          <w:tcPr>
            <w:tcW w:w="450" w:type="dxa"/>
            <w:tcBorders>
              <w:left w:val="single" w:sz="6" w:space="0" w:color="auto"/>
            </w:tcBorders>
          </w:tcPr>
          <w:p w14:paraId="68CE6E71" w14:textId="77777777" w:rsidR="005E6C8C" w:rsidRPr="00CA6574" w:rsidRDefault="005E6C8C" w:rsidP="005E6C8C">
            <w:pPr>
              <w:pStyle w:val="Level111G1"/>
            </w:pPr>
          </w:p>
        </w:tc>
        <w:tc>
          <w:tcPr>
            <w:tcW w:w="1001" w:type="dxa"/>
            <w:tcBorders>
              <w:left w:val="single" w:sz="6" w:space="0" w:color="auto"/>
            </w:tcBorders>
          </w:tcPr>
          <w:p w14:paraId="526FDDD6" w14:textId="77777777" w:rsidR="005E6C8C" w:rsidRPr="00CA6574" w:rsidRDefault="005E6C8C" w:rsidP="005E6C8C">
            <w:pPr>
              <w:pStyle w:val="Level111G1"/>
            </w:pPr>
          </w:p>
        </w:tc>
        <w:tc>
          <w:tcPr>
            <w:tcW w:w="1001" w:type="dxa"/>
            <w:tcBorders>
              <w:left w:val="single" w:sz="6" w:space="0" w:color="auto"/>
            </w:tcBorders>
          </w:tcPr>
          <w:p w14:paraId="289E2D17" w14:textId="77777777" w:rsidR="005E6C8C" w:rsidRPr="00CA6574" w:rsidRDefault="005E6C8C" w:rsidP="005E6C8C">
            <w:pPr>
              <w:pStyle w:val="Level111G1"/>
            </w:pPr>
          </w:p>
        </w:tc>
      </w:tr>
      <w:tr w:rsidR="005E6C8C" w:rsidRPr="00CA6574" w14:paraId="446DAA38" w14:textId="77777777" w:rsidTr="005E616F">
        <w:trPr>
          <w:cantSplit/>
          <w:trHeight w:val="1098"/>
        </w:trPr>
        <w:tc>
          <w:tcPr>
            <w:tcW w:w="6948" w:type="dxa"/>
          </w:tcPr>
          <w:p w14:paraId="178779CC" w14:textId="0FB0A4A4" w:rsidR="005E6C8C" w:rsidRPr="00CA6574" w:rsidRDefault="005E6C8C" w:rsidP="005E6C8C">
            <w:pPr>
              <w:pStyle w:val="Level111G1"/>
            </w:pPr>
            <w:r w:rsidRPr="00CA6574">
              <w:tab/>
              <w:t>5.</w:t>
            </w:r>
            <w:r>
              <w:t>10</w:t>
            </w:r>
            <w:r w:rsidRPr="00CA6574">
              <w:tab/>
              <w:t xml:space="preserve">Consider </w:t>
            </w:r>
            <w:r>
              <w:t xml:space="preserve">the </w:t>
            </w:r>
            <w:r w:rsidRPr="00CA6574">
              <w:t xml:space="preserve">timing and management of funds (payment by wire transfers, lawyers’ trust accounts, Law Society trust administration fee, etc.). Use </w:t>
            </w:r>
            <w:r w:rsidRPr="00B210BF">
              <w:t>di</w:t>
            </w:r>
            <w:r w:rsidRPr="00950A24">
              <w:t>rections to pay as necessary. With regard to wire transfers, see Law Society Rules</w:t>
            </w:r>
            <w:r>
              <w:t> </w:t>
            </w:r>
            <w:r w:rsidRPr="005F1724">
              <w:t xml:space="preserve">3-64.1 and 3-64.2 and </w:t>
            </w:r>
            <w:r w:rsidRPr="00B2448E">
              <w:t xml:space="preserve">the </w:t>
            </w:r>
            <w:r w:rsidRPr="00B2448E">
              <w:rPr>
                <w:i/>
              </w:rPr>
              <w:t>Trust Accounting Handbook</w:t>
            </w:r>
            <w:r w:rsidRPr="00B2448E">
              <w:t xml:space="preserve"> at </w:t>
            </w:r>
            <w:hyperlink r:id="rId21" w:history="1">
              <w:r w:rsidRPr="003328C9">
                <w:rPr>
                  <w:rStyle w:val="Hyperlink"/>
                </w:rPr>
                <w:t>www.</w:t>
              </w:r>
              <w:r w:rsidRPr="003328C9">
                <w:rPr>
                  <w:rStyle w:val="Hyperlink"/>
                </w:rPr>
                <w:br/>
                <w:t>lawsociety.bc.ca/docs/trust/Trust-Accounting-Handbook.pdf</w:t>
              </w:r>
            </w:hyperlink>
            <w:r w:rsidRPr="00B2448E">
              <w:t>.</w:t>
            </w:r>
            <w:r w:rsidRPr="004D071E">
              <w:t xml:space="preserve"> </w:t>
            </w:r>
          </w:p>
        </w:tc>
        <w:tc>
          <w:tcPr>
            <w:tcW w:w="450" w:type="dxa"/>
            <w:tcBorders>
              <w:left w:val="single" w:sz="6" w:space="0" w:color="auto"/>
            </w:tcBorders>
          </w:tcPr>
          <w:p w14:paraId="4358563C" w14:textId="77777777" w:rsidR="005E6C8C" w:rsidRPr="00CA6574" w:rsidRDefault="005E6C8C" w:rsidP="005E6C8C">
            <w:pPr>
              <w:pStyle w:val="Level111G1"/>
            </w:pPr>
          </w:p>
        </w:tc>
        <w:tc>
          <w:tcPr>
            <w:tcW w:w="450" w:type="dxa"/>
            <w:tcBorders>
              <w:left w:val="single" w:sz="6" w:space="0" w:color="auto"/>
            </w:tcBorders>
          </w:tcPr>
          <w:p w14:paraId="2EF10E72" w14:textId="77777777" w:rsidR="005E6C8C" w:rsidRPr="00CA6574" w:rsidRDefault="005E6C8C" w:rsidP="005E6C8C">
            <w:pPr>
              <w:pStyle w:val="Level111G1"/>
            </w:pPr>
          </w:p>
        </w:tc>
        <w:tc>
          <w:tcPr>
            <w:tcW w:w="450" w:type="dxa"/>
            <w:tcBorders>
              <w:left w:val="single" w:sz="6" w:space="0" w:color="auto"/>
            </w:tcBorders>
          </w:tcPr>
          <w:p w14:paraId="70C3EC4D" w14:textId="77777777" w:rsidR="005E6C8C" w:rsidRPr="00CA6574" w:rsidRDefault="005E6C8C" w:rsidP="005E6C8C">
            <w:pPr>
              <w:pStyle w:val="Level111G1"/>
            </w:pPr>
          </w:p>
        </w:tc>
        <w:tc>
          <w:tcPr>
            <w:tcW w:w="1001" w:type="dxa"/>
            <w:tcBorders>
              <w:left w:val="single" w:sz="6" w:space="0" w:color="auto"/>
            </w:tcBorders>
          </w:tcPr>
          <w:p w14:paraId="274D2B5A" w14:textId="77777777" w:rsidR="005E6C8C" w:rsidRPr="00CA6574" w:rsidRDefault="005E6C8C" w:rsidP="005E6C8C">
            <w:pPr>
              <w:pStyle w:val="Level111G1"/>
            </w:pPr>
          </w:p>
        </w:tc>
        <w:tc>
          <w:tcPr>
            <w:tcW w:w="1001" w:type="dxa"/>
            <w:tcBorders>
              <w:left w:val="single" w:sz="6" w:space="0" w:color="auto"/>
            </w:tcBorders>
          </w:tcPr>
          <w:p w14:paraId="5684EC64" w14:textId="77777777" w:rsidR="005E6C8C" w:rsidRPr="00CA6574" w:rsidRDefault="005E6C8C" w:rsidP="005E6C8C">
            <w:pPr>
              <w:pStyle w:val="Level111G1"/>
            </w:pPr>
          </w:p>
        </w:tc>
      </w:tr>
      <w:tr w:rsidR="005E6C8C" w:rsidRPr="00CA6574" w14:paraId="5E30443F" w14:textId="77777777">
        <w:trPr>
          <w:cantSplit/>
        </w:trPr>
        <w:tc>
          <w:tcPr>
            <w:tcW w:w="6948" w:type="dxa"/>
          </w:tcPr>
          <w:p w14:paraId="3E2803C8" w14:textId="77777777" w:rsidR="005E6C8C" w:rsidRPr="00CA6574" w:rsidRDefault="005E6C8C" w:rsidP="005E6C8C">
            <w:pPr>
              <w:pStyle w:val="NumberedheadingGH"/>
            </w:pPr>
            <w:r w:rsidRPr="00CA6574">
              <w:t>6.</w:t>
            </w:r>
            <w:r w:rsidRPr="00CA6574">
              <w:tab/>
              <w:t>CLOSING</w:t>
            </w:r>
          </w:p>
        </w:tc>
        <w:tc>
          <w:tcPr>
            <w:tcW w:w="450" w:type="dxa"/>
            <w:tcBorders>
              <w:left w:val="single" w:sz="6" w:space="0" w:color="auto"/>
            </w:tcBorders>
          </w:tcPr>
          <w:p w14:paraId="2025D68A" w14:textId="77777777" w:rsidR="005E6C8C" w:rsidRPr="00CA6574" w:rsidRDefault="005E6C8C" w:rsidP="005E6C8C">
            <w:pPr>
              <w:pStyle w:val="NumberedheadingGH"/>
              <w:jc w:val="center"/>
            </w:pPr>
          </w:p>
        </w:tc>
        <w:tc>
          <w:tcPr>
            <w:tcW w:w="450" w:type="dxa"/>
            <w:tcBorders>
              <w:left w:val="single" w:sz="6" w:space="0" w:color="auto"/>
            </w:tcBorders>
          </w:tcPr>
          <w:p w14:paraId="66A43F87" w14:textId="77777777" w:rsidR="005E6C8C" w:rsidRPr="00CA6574" w:rsidRDefault="005E6C8C" w:rsidP="005E6C8C">
            <w:pPr>
              <w:pStyle w:val="NumberedheadingGH"/>
              <w:jc w:val="center"/>
            </w:pPr>
          </w:p>
        </w:tc>
        <w:tc>
          <w:tcPr>
            <w:tcW w:w="450" w:type="dxa"/>
            <w:tcBorders>
              <w:left w:val="single" w:sz="6" w:space="0" w:color="auto"/>
            </w:tcBorders>
          </w:tcPr>
          <w:p w14:paraId="4625FE40" w14:textId="77777777" w:rsidR="005E6C8C" w:rsidRPr="00CA6574" w:rsidRDefault="005E6C8C" w:rsidP="005E6C8C">
            <w:pPr>
              <w:pStyle w:val="NumberedheadingGH"/>
              <w:jc w:val="center"/>
            </w:pPr>
          </w:p>
        </w:tc>
        <w:tc>
          <w:tcPr>
            <w:tcW w:w="1001" w:type="dxa"/>
            <w:tcBorders>
              <w:left w:val="single" w:sz="6" w:space="0" w:color="auto"/>
            </w:tcBorders>
          </w:tcPr>
          <w:p w14:paraId="3A97BFC8" w14:textId="77777777" w:rsidR="005E6C8C" w:rsidRPr="00CA6574" w:rsidRDefault="005E6C8C" w:rsidP="005E6C8C">
            <w:pPr>
              <w:pStyle w:val="NumberedheadingGH"/>
              <w:jc w:val="center"/>
            </w:pPr>
          </w:p>
        </w:tc>
        <w:tc>
          <w:tcPr>
            <w:tcW w:w="1001" w:type="dxa"/>
            <w:tcBorders>
              <w:left w:val="single" w:sz="6" w:space="0" w:color="auto"/>
            </w:tcBorders>
          </w:tcPr>
          <w:p w14:paraId="6AA53006" w14:textId="77777777" w:rsidR="005E6C8C" w:rsidRPr="00CA6574" w:rsidRDefault="005E6C8C" w:rsidP="005E6C8C">
            <w:pPr>
              <w:pStyle w:val="NumberedheadingGH"/>
              <w:jc w:val="center"/>
            </w:pPr>
          </w:p>
        </w:tc>
      </w:tr>
      <w:tr w:rsidR="005E6C8C" w:rsidRPr="00CA6574" w14:paraId="735EE16C" w14:textId="77777777">
        <w:trPr>
          <w:cantSplit/>
          <w:trHeight w:val="70"/>
        </w:trPr>
        <w:tc>
          <w:tcPr>
            <w:tcW w:w="6948" w:type="dxa"/>
          </w:tcPr>
          <w:p w14:paraId="7CB71E91" w14:textId="77777777" w:rsidR="005E6C8C" w:rsidRPr="00CA6574" w:rsidRDefault="005E6C8C" w:rsidP="005E6C8C">
            <w:pPr>
              <w:pStyle w:val="Level111G1"/>
            </w:pPr>
            <w:r w:rsidRPr="00CA6574">
              <w:tab/>
              <w:t>6.1</w:t>
            </w:r>
            <w:r w:rsidRPr="00CA6574">
              <w:tab/>
              <w:t>Ensure that all the conditions of closing are satisfied or waived.</w:t>
            </w:r>
          </w:p>
        </w:tc>
        <w:tc>
          <w:tcPr>
            <w:tcW w:w="450" w:type="dxa"/>
            <w:tcBorders>
              <w:left w:val="single" w:sz="6" w:space="0" w:color="auto"/>
            </w:tcBorders>
          </w:tcPr>
          <w:p w14:paraId="181CA048" w14:textId="77777777" w:rsidR="005E6C8C" w:rsidRPr="00CA6574" w:rsidRDefault="005E6C8C" w:rsidP="005E6C8C">
            <w:pPr>
              <w:pStyle w:val="Level111G1"/>
            </w:pPr>
          </w:p>
        </w:tc>
        <w:tc>
          <w:tcPr>
            <w:tcW w:w="450" w:type="dxa"/>
            <w:tcBorders>
              <w:left w:val="single" w:sz="6" w:space="0" w:color="auto"/>
            </w:tcBorders>
          </w:tcPr>
          <w:p w14:paraId="1D3DAA86" w14:textId="77777777" w:rsidR="005E6C8C" w:rsidRPr="00CA6574" w:rsidRDefault="005E6C8C" w:rsidP="005E6C8C">
            <w:pPr>
              <w:pStyle w:val="Level111G1"/>
            </w:pPr>
          </w:p>
        </w:tc>
        <w:tc>
          <w:tcPr>
            <w:tcW w:w="450" w:type="dxa"/>
            <w:tcBorders>
              <w:left w:val="single" w:sz="6" w:space="0" w:color="auto"/>
            </w:tcBorders>
          </w:tcPr>
          <w:p w14:paraId="61C38B47" w14:textId="77777777" w:rsidR="005E6C8C" w:rsidRPr="00CA6574" w:rsidRDefault="005E6C8C" w:rsidP="005E6C8C">
            <w:pPr>
              <w:pStyle w:val="Level111G1"/>
            </w:pPr>
          </w:p>
        </w:tc>
        <w:tc>
          <w:tcPr>
            <w:tcW w:w="1001" w:type="dxa"/>
            <w:tcBorders>
              <w:left w:val="single" w:sz="6" w:space="0" w:color="auto"/>
            </w:tcBorders>
          </w:tcPr>
          <w:p w14:paraId="25C31044" w14:textId="77777777" w:rsidR="005E6C8C" w:rsidRPr="00CA6574" w:rsidRDefault="005E6C8C" w:rsidP="005E6C8C">
            <w:pPr>
              <w:pStyle w:val="Level111G1"/>
            </w:pPr>
          </w:p>
        </w:tc>
        <w:tc>
          <w:tcPr>
            <w:tcW w:w="1001" w:type="dxa"/>
            <w:tcBorders>
              <w:left w:val="single" w:sz="6" w:space="0" w:color="auto"/>
            </w:tcBorders>
          </w:tcPr>
          <w:p w14:paraId="4753C2A4" w14:textId="77777777" w:rsidR="005E6C8C" w:rsidRPr="00CA6574" w:rsidRDefault="005E6C8C" w:rsidP="005E6C8C">
            <w:pPr>
              <w:pStyle w:val="Level111G1"/>
            </w:pPr>
          </w:p>
        </w:tc>
      </w:tr>
      <w:tr w:rsidR="005E6C8C" w:rsidRPr="00CA6574" w14:paraId="6C038E39" w14:textId="77777777">
        <w:trPr>
          <w:cantSplit/>
          <w:trHeight w:val="70"/>
        </w:trPr>
        <w:tc>
          <w:tcPr>
            <w:tcW w:w="6948" w:type="dxa"/>
          </w:tcPr>
          <w:p w14:paraId="19FACFE4" w14:textId="77777777" w:rsidR="005E6C8C" w:rsidRPr="00CA6574" w:rsidRDefault="005E6C8C" w:rsidP="005E6C8C">
            <w:pPr>
              <w:pStyle w:val="Level111G1"/>
            </w:pPr>
            <w:r w:rsidRPr="0047781F">
              <w:tab/>
              <w:t>6.</w:t>
            </w:r>
            <w:r>
              <w:t>2</w:t>
            </w:r>
            <w:r w:rsidRPr="0047781F">
              <w:tab/>
              <w:t>Ensure that each party receives the appropriate documents and funds.</w:t>
            </w:r>
          </w:p>
        </w:tc>
        <w:tc>
          <w:tcPr>
            <w:tcW w:w="450" w:type="dxa"/>
            <w:tcBorders>
              <w:left w:val="single" w:sz="6" w:space="0" w:color="auto"/>
            </w:tcBorders>
          </w:tcPr>
          <w:p w14:paraId="460627A2" w14:textId="77777777" w:rsidR="005E6C8C" w:rsidRPr="00CA6574" w:rsidRDefault="005E6C8C" w:rsidP="005E6C8C">
            <w:pPr>
              <w:pStyle w:val="Level111G1"/>
            </w:pPr>
          </w:p>
        </w:tc>
        <w:tc>
          <w:tcPr>
            <w:tcW w:w="450" w:type="dxa"/>
            <w:tcBorders>
              <w:left w:val="single" w:sz="6" w:space="0" w:color="auto"/>
            </w:tcBorders>
          </w:tcPr>
          <w:p w14:paraId="752B4877" w14:textId="77777777" w:rsidR="005E6C8C" w:rsidRPr="00CA6574" w:rsidRDefault="005E6C8C" w:rsidP="005E6C8C">
            <w:pPr>
              <w:pStyle w:val="Level111G1"/>
            </w:pPr>
          </w:p>
        </w:tc>
        <w:tc>
          <w:tcPr>
            <w:tcW w:w="450" w:type="dxa"/>
            <w:tcBorders>
              <w:left w:val="single" w:sz="6" w:space="0" w:color="auto"/>
            </w:tcBorders>
          </w:tcPr>
          <w:p w14:paraId="1887FC89" w14:textId="77777777" w:rsidR="005E6C8C" w:rsidRPr="00CA6574" w:rsidRDefault="005E6C8C" w:rsidP="005E6C8C">
            <w:pPr>
              <w:pStyle w:val="Level111G1"/>
            </w:pPr>
          </w:p>
        </w:tc>
        <w:tc>
          <w:tcPr>
            <w:tcW w:w="1001" w:type="dxa"/>
            <w:tcBorders>
              <w:left w:val="single" w:sz="6" w:space="0" w:color="auto"/>
            </w:tcBorders>
          </w:tcPr>
          <w:p w14:paraId="33EFDEA0" w14:textId="77777777" w:rsidR="005E6C8C" w:rsidRPr="00CA6574" w:rsidRDefault="005E6C8C" w:rsidP="005E6C8C">
            <w:pPr>
              <w:pStyle w:val="Level111G1"/>
            </w:pPr>
          </w:p>
        </w:tc>
        <w:tc>
          <w:tcPr>
            <w:tcW w:w="1001" w:type="dxa"/>
            <w:tcBorders>
              <w:left w:val="single" w:sz="6" w:space="0" w:color="auto"/>
            </w:tcBorders>
          </w:tcPr>
          <w:p w14:paraId="143C6536" w14:textId="77777777" w:rsidR="005E6C8C" w:rsidRPr="00CA6574" w:rsidRDefault="005E6C8C" w:rsidP="005E6C8C">
            <w:pPr>
              <w:pStyle w:val="Level111G1"/>
            </w:pPr>
          </w:p>
        </w:tc>
      </w:tr>
      <w:tr w:rsidR="005E6C8C" w:rsidRPr="00CA6574" w14:paraId="22563AC5" w14:textId="77777777" w:rsidTr="0046711C">
        <w:trPr>
          <w:cantSplit/>
          <w:trHeight w:val="585"/>
        </w:trPr>
        <w:tc>
          <w:tcPr>
            <w:tcW w:w="6948" w:type="dxa"/>
          </w:tcPr>
          <w:p w14:paraId="5F741718" w14:textId="1E83E567" w:rsidR="005E6C8C" w:rsidRPr="00CA6574" w:rsidRDefault="005E6C8C" w:rsidP="0046711C">
            <w:pPr>
              <w:pStyle w:val="Level111G1"/>
              <w:spacing w:after="120"/>
              <w:ind w:left="907" w:hanging="907"/>
            </w:pPr>
            <w:r>
              <w:tab/>
            </w:r>
            <w:r w:rsidRPr="00CA6574">
              <w:t>6.</w:t>
            </w:r>
            <w:r>
              <w:t>3</w:t>
            </w:r>
            <w:r w:rsidRPr="00CA6574">
              <w:tab/>
              <w:t>Obtain acknowledgment in writing that all conditions of closing have been satisfied or waived.</w:t>
            </w:r>
          </w:p>
        </w:tc>
        <w:tc>
          <w:tcPr>
            <w:tcW w:w="450" w:type="dxa"/>
            <w:tcBorders>
              <w:left w:val="single" w:sz="6" w:space="0" w:color="auto"/>
            </w:tcBorders>
          </w:tcPr>
          <w:p w14:paraId="03A6CD43" w14:textId="77777777" w:rsidR="005E6C8C" w:rsidRPr="00CA6574" w:rsidRDefault="005E6C8C" w:rsidP="005E6C8C">
            <w:pPr>
              <w:pStyle w:val="Level111G1"/>
            </w:pPr>
          </w:p>
        </w:tc>
        <w:tc>
          <w:tcPr>
            <w:tcW w:w="450" w:type="dxa"/>
            <w:tcBorders>
              <w:left w:val="single" w:sz="6" w:space="0" w:color="auto"/>
            </w:tcBorders>
          </w:tcPr>
          <w:p w14:paraId="311D3924" w14:textId="77777777" w:rsidR="005E6C8C" w:rsidRPr="00CA6574" w:rsidRDefault="005E6C8C" w:rsidP="005E6C8C">
            <w:pPr>
              <w:pStyle w:val="Level111G1"/>
            </w:pPr>
          </w:p>
        </w:tc>
        <w:tc>
          <w:tcPr>
            <w:tcW w:w="450" w:type="dxa"/>
            <w:tcBorders>
              <w:left w:val="single" w:sz="6" w:space="0" w:color="auto"/>
            </w:tcBorders>
          </w:tcPr>
          <w:p w14:paraId="4925DD97" w14:textId="77777777" w:rsidR="005E6C8C" w:rsidRPr="00CA6574" w:rsidRDefault="005E6C8C" w:rsidP="005E6C8C">
            <w:pPr>
              <w:pStyle w:val="Level111G1"/>
            </w:pPr>
          </w:p>
        </w:tc>
        <w:tc>
          <w:tcPr>
            <w:tcW w:w="1001" w:type="dxa"/>
            <w:tcBorders>
              <w:left w:val="single" w:sz="6" w:space="0" w:color="auto"/>
            </w:tcBorders>
          </w:tcPr>
          <w:p w14:paraId="4CB2B695" w14:textId="77777777" w:rsidR="005E6C8C" w:rsidRPr="00CA6574" w:rsidRDefault="005E6C8C" w:rsidP="005E6C8C">
            <w:pPr>
              <w:pStyle w:val="Level111G1"/>
            </w:pPr>
          </w:p>
        </w:tc>
        <w:tc>
          <w:tcPr>
            <w:tcW w:w="1001" w:type="dxa"/>
            <w:tcBorders>
              <w:left w:val="single" w:sz="6" w:space="0" w:color="auto"/>
            </w:tcBorders>
          </w:tcPr>
          <w:p w14:paraId="7F134BF7" w14:textId="77777777" w:rsidR="005E6C8C" w:rsidRPr="00CA6574" w:rsidRDefault="005E6C8C" w:rsidP="005E6C8C">
            <w:pPr>
              <w:pStyle w:val="Level111G1"/>
            </w:pPr>
          </w:p>
        </w:tc>
      </w:tr>
      <w:tr w:rsidR="005E6C8C" w:rsidRPr="00CA6574" w14:paraId="127ECB65" w14:textId="77777777">
        <w:trPr>
          <w:cantSplit/>
        </w:trPr>
        <w:tc>
          <w:tcPr>
            <w:tcW w:w="6948" w:type="dxa"/>
          </w:tcPr>
          <w:p w14:paraId="61194A97" w14:textId="7294554A" w:rsidR="005E6C8C" w:rsidRPr="00CA6574" w:rsidRDefault="005E6C8C" w:rsidP="005E6C8C">
            <w:pPr>
              <w:pStyle w:val="Level111G1"/>
            </w:pPr>
            <w:r>
              <w:tab/>
              <w:t>6.4</w:t>
            </w:r>
            <w:r>
              <w:tab/>
              <w:t>Complete any filings at registries</w:t>
            </w:r>
            <w:r w:rsidRPr="0021164B">
              <w:t xml:space="preserve"> as necessary</w:t>
            </w:r>
            <w:r>
              <w:t xml:space="preserve"> including in particular changes of directors with the Corporate Registry. Note and attend to the requirements of the </w:t>
            </w:r>
            <w:r>
              <w:rPr>
                <w:i/>
              </w:rPr>
              <w:t>LOTA</w:t>
            </w:r>
            <w:r>
              <w:t>, where applicable; see “</w:t>
            </w:r>
            <w:r>
              <w:rPr>
                <w:i/>
              </w:rPr>
              <w:t>Land Owner Transparency Act</w:t>
            </w:r>
            <w:r>
              <w:t xml:space="preserve">” </w:t>
            </w:r>
            <w:r w:rsidR="006452C9">
              <w:t xml:space="preserve">and “Transparency register” </w:t>
            </w:r>
            <w:r>
              <w:t>under “New developments” in this checklist</w:t>
            </w:r>
            <w:r w:rsidRPr="0021164B">
              <w:t xml:space="preserve">. Register any financing statements and financing change statements that require registration at the Personal Property Registry. Do these registrations on or before closing, if possible. </w:t>
            </w:r>
          </w:p>
        </w:tc>
        <w:tc>
          <w:tcPr>
            <w:tcW w:w="450" w:type="dxa"/>
            <w:tcBorders>
              <w:left w:val="single" w:sz="6" w:space="0" w:color="auto"/>
            </w:tcBorders>
          </w:tcPr>
          <w:p w14:paraId="224F7772" w14:textId="77777777" w:rsidR="005E6C8C" w:rsidRPr="00CA6574" w:rsidRDefault="005E6C8C" w:rsidP="005E6C8C">
            <w:pPr>
              <w:pStyle w:val="Level111G1"/>
            </w:pPr>
          </w:p>
        </w:tc>
        <w:tc>
          <w:tcPr>
            <w:tcW w:w="450" w:type="dxa"/>
            <w:tcBorders>
              <w:left w:val="single" w:sz="6" w:space="0" w:color="auto"/>
            </w:tcBorders>
          </w:tcPr>
          <w:p w14:paraId="5DA61C2A" w14:textId="77777777" w:rsidR="005E6C8C" w:rsidRPr="00CA6574" w:rsidRDefault="005E6C8C" w:rsidP="005E6C8C">
            <w:pPr>
              <w:pStyle w:val="Level111G1"/>
            </w:pPr>
          </w:p>
        </w:tc>
        <w:tc>
          <w:tcPr>
            <w:tcW w:w="450" w:type="dxa"/>
            <w:tcBorders>
              <w:left w:val="single" w:sz="6" w:space="0" w:color="auto"/>
            </w:tcBorders>
          </w:tcPr>
          <w:p w14:paraId="48936999" w14:textId="77777777" w:rsidR="005E6C8C" w:rsidRPr="00CA6574" w:rsidRDefault="005E6C8C" w:rsidP="005E6C8C">
            <w:pPr>
              <w:pStyle w:val="Level111G1"/>
            </w:pPr>
          </w:p>
        </w:tc>
        <w:tc>
          <w:tcPr>
            <w:tcW w:w="1001" w:type="dxa"/>
            <w:tcBorders>
              <w:left w:val="single" w:sz="6" w:space="0" w:color="auto"/>
            </w:tcBorders>
          </w:tcPr>
          <w:p w14:paraId="5A46F377" w14:textId="77777777" w:rsidR="005E6C8C" w:rsidRPr="00CA6574" w:rsidRDefault="005E6C8C" w:rsidP="005E6C8C">
            <w:pPr>
              <w:pStyle w:val="Level111G1"/>
            </w:pPr>
          </w:p>
        </w:tc>
        <w:tc>
          <w:tcPr>
            <w:tcW w:w="1001" w:type="dxa"/>
            <w:tcBorders>
              <w:left w:val="single" w:sz="6" w:space="0" w:color="auto"/>
            </w:tcBorders>
          </w:tcPr>
          <w:p w14:paraId="6EF6F0BF" w14:textId="77777777" w:rsidR="005E6C8C" w:rsidRPr="00CA6574" w:rsidRDefault="005E6C8C" w:rsidP="005E6C8C">
            <w:pPr>
              <w:pStyle w:val="Level111G1"/>
            </w:pPr>
          </w:p>
        </w:tc>
      </w:tr>
      <w:tr w:rsidR="005E6C8C" w:rsidRPr="00CA6574" w14:paraId="0A8DBA42" w14:textId="77777777">
        <w:trPr>
          <w:cantSplit/>
          <w:trHeight w:val="252"/>
        </w:trPr>
        <w:tc>
          <w:tcPr>
            <w:tcW w:w="6948" w:type="dxa"/>
          </w:tcPr>
          <w:p w14:paraId="254DACD9" w14:textId="6FF39675" w:rsidR="005E6C8C" w:rsidRPr="00CA6574" w:rsidRDefault="005E6C8C" w:rsidP="005E6C8C">
            <w:pPr>
              <w:pStyle w:val="Level111G1"/>
            </w:pPr>
            <w:r w:rsidRPr="00CA6574">
              <w:tab/>
              <w:t>6.</w:t>
            </w:r>
            <w:r>
              <w:t>5</w:t>
            </w:r>
            <w:r w:rsidRPr="00CA6574">
              <w:tab/>
              <w:t xml:space="preserve">Obtain </w:t>
            </w:r>
            <w:r>
              <w:t xml:space="preserve">the definitive </w:t>
            </w:r>
            <w:r w:rsidRPr="00CA6574">
              <w:t xml:space="preserve">books and records of the </w:t>
            </w:r>
            <w:r>
              <w:t>target entity and update the corporate records to reflect the transaction</w:t>
            </w:r>
            <w:r w:rsidRPr="00CA6574">
              <w:t>.</w:t>
            </w:r>
          </w:p>
        </w:tc>
        <w:tc>
          <w:tcPr>
            <w:tcW w:w="450" w:type="dxa"/>
            <w:tcBorders>
              <w:left w:val="single" w:sz="6" w:space="0" w:color="auto"/>
            </w:tcBorders>
          </w:tcPr>
          <w:p w14:paraId="2FECBB6D" w14:textId="77777777" w:rsidR="005E6C8C" w:rsidRPr="00CA6574" w:rsidRDefault="005E6C8C" w:rsidP="005E6C8C">
            <w:pPr>
              <w:pStyle w:val="Level111G1"/>
            </w:pPr>
          </w:p>
        </w:tc>
        <w:tc>
          <w:tcPr>
            <w:tcW w:w="450" w:type="dxa"/>
            <w:tcBorders>
              <w:left w:val="single" w:sz="6" w:space="0" w:color="auto"/>
            </w:tcBorders>
          </w:tcPr>
          <w:p w14:paraId="27DF2016" w14:textId="77777777" w:rsidR="005E6C8C" w:rsidRPr="00CA6574" w:rsidRDefault="005E6C8C" w:rsidP="005E6C8C">
            <w:pPr>
              <w:pStyle w:val="Level111G1"/>
            </w:pPr>
          </w:p>
        </w:tc>
        <w:tc>
          <w:tcPr>
            <w:tcW w:w="450" w:type="dxa"/>
            <w:tcBorders>
              <w:left w:val="single" w:sz="6" w:space="0" w:color="auto"/>
            </w:tcBorders>
          </w:tcPr>
          <w:p w14:paraId="35DEBD84" w14:textId="77777777" w:rsidR="005E6C8C" w:rsidRPr="00CA6574" w:rsidRDefault="005E6C8C" w:rsidP="005E6C8C">
            <w:pPr>
              <w:pStyle w:val="Level111G1"/>
            </w:pPr>
          </w:p>
        </w:tc>
        <w:tc>
          <w:tcPr>
            <w:tcW w:w="1001" w:type="dxa"/>
            <w:tcBorders>
              <w:left w:val="single" w:sz="6" w:space="0" w:color="auto"/>
            </w:tcBorders>
          </w:tcPr>
          <w:p w14:paraId="3D193C68" w14:textId="77777777" w:rsidR="005E6C8C" w:rsidRPr="00CA6574" w:rsidRDefault="005E6C8C" w:rsidP="005E6C8C">
            <w:pPr>
              <w:pStyle w:val="Level111G1"/>
            </w:pPr>
          </w:p>
        </w:tc>
        <w:tc>
          <w:tcPr>
            <w:tcW w:w="1001" w:type="dxa"/>
            <w:tcBorders>
              <w:left w:val="single" w:sz="6" w:space="0" w:color="auto"/>
            </w:tcBorders>
          </w:tcPr>
          <w:p w14:paraId="0C2F3841" w14:textId="77777777" w:rsidR="005E6C8C" w:rsidRPr="00CA6574" w:rsidRDefault="005E6C8C" w:rsidP="005E6C8C">
            <w:pPr>
              <w:pStyle w:val="Level111G1"/>
            </w:pPr>
          </w:p>
        </w:tc>
      </w:tr>
      <w:tr w:rsidR="005E6C8C" w:rsidRPr="00CA6574" w14:paraId="2EED2E17" w14:textId="77777777" w:rsidTr="007B15B4">
        <w:trPr>
          <w:cantSplit/>
          <w:trHeight w:val="297"/>
        </w:trPr>
        <w:tc>
          <w:tcPr>
            <w:tcW w:w="6948" w:type="dxa"/>
          </w:tcPr>
          <w:p w14:paraId="7A2F22A1" w14:textId="77777777" w:rsidR="005E6C8C" w:rsidRPr="00CA6574" w:rsidRDefault="005E6C8C" w:rsidP="005E6C8C">
            <w:pPr>
              <w:pStyle w:val="Level111G1"/>
            </w:pPr>
            <w:r w:rsidRPr="00CA6574">
              <w:tab/>
              <w:t>6.</w:t>
            </w:r>
            <w:r>
              <w:t>6</w:t>
            </w:r>
            <w:r w:rsidRPr="00CA6574">
              <w:tab/>
              <w:t>Obtain the company seal</w:t>
            </w:r>
            <w:r>
              <w:t>, if applicable</w:t>
            </w:r>
            <w:r w:rsidRPr="00CA6574">
              <w:t>.</w:t>
            </w:r>
          </w:p>
        </w:tc>
        <w:tc>
          <w:tcPr>
            <w:tcW w:w="450" w:type="dxa"/>
            <w:tcBorders>
              <w:left w:val="single" w:sz="6" w:space="0" w:color="auto"/>
            </w:tcBorders>
          </w:tcPr>
          <w:p w14:paraId="7D508494" w14:textId="77777777" w:rsidR="005E6C8C" w:rsidRPr="00CA6574" w:rsidRDefault="005E6C8C" w:rsidP="005E6C8C">
            <w:pPr>
              <w:pStyle w:val="Level111G1"/>
            </w:pPr>
          </w:p>
        </w:tc>
        <w:tc>
          <w:tcPr>
            <w:tcW w:w="450" w:type="dxa"/>
            <w:tcBorders>
              <w:left w:val="single" w:sz="6" w:space="0" w:color="auto"/>
            </w:tcBorders>
          </w:tcPr>
          <w:p w14:paraId="14FB18FB" w14:textId="77777777" w:rsidR="005E6C8C" w:rsidRPr="00CA6574" w:rsidRDefault="005E6C8C" w:rsidP="005E6C8C">
            <w:pPr>
              <w:pStyle w:val="Level111G1"/>
            </w:pPr>
          </w:p>
        </w:tc>
        <w:tc>
          <w:tcPr>
            <w:tcW w:w="450" w:type="dxa"/>
            <w:tcBorders>
              <w:left w:val="single" w:sz="6" w:space="0" w:color="auto"/>
            </w:tcBorders>
          </w:tcPr>
          <w:p w14:paraId="7FFA085B" w14:textId="77777777" w:rsidR="005E6C8C" w:rsidRPr="00CA6574" w:rsidRDefault="005E6C8C" w:rsidP="005E6C8C">
            <w:pPr>
              <w:pStyle w:val="Level111G1"/>
            </w:pPr>
          </w:p>
        </w:tc>
        <w:tc>
          <w:tcPr>
            <w:tcW w:w="1001" w:type="dxa"/>
            <w:tcBorders>
              <w:left w:val="single" w:sz="6" w:space="0" w:color="auto"/>
            </w:tcBorders>
          </w:tcPr>
          <w:p w14:paraId="361F8D96" w14:textId="77777777" w:rsidR="005E6C8C" w:rsidRPr="00CA6574" w:rsidRDefault="005E6C8C" w:rsidP="005E6C8C">
            <w:pPr>
              <w:pStyle w:val="Level111G1"/>
            </w:pPr>
          </w:p>
        </w:tc>
        <w:tc>
          <w:tcPr>
            <w:tcW w:w="1001" w:type="dxa"/>
            <w:tcBorders>
              <w:left w:val="single" w:sz="6" w:space="0" w:color="auto"/>
            </w:tcBorders>
          </w:tcPr>
          <w:p w14:paraId="73877700" w14:textId="77777777" w:rsidR="005E6C8C" w:rsidRPr="00CA6574" w:rsidRDefault="005E6C8C" w:rsidP="005E6C8C">
            <w:pPr>
              <w:pStyle w:val="Level111G1"/>
            </w:pPr>
          </w:p>
        </w:tc>
      </w:tr>
      <w:tr w:rsidR="005E6C8C" w:rsidRPr="00CA6574" w14:paraId="06F3DF22" w14:textId="77777777" w:rsidTr="00E07141">
        <w:trPr>
          <w:cantSplit/>
          <w:trHeight w:val="279"/>
        </w:trPr>
        <w:tc>
          <w:tcPr>
            <w:tcW w:w="6948" w:type="dxa"/>
          </w:tcPr>
          <w:p w14:paraId="5C0E0231" w14:textId="77777777" w:rsidR="005E6C8C" w:rsidRPr="00D84E94" w:rsidRDefault="005E6C8C" w:rsidP="005E6C8C">
            <w:pPr>
              <w:pStyle w:val="Level111G1"/>
            </w:pPr>
            <w:r>
              <w:tab/>
            </w:r>
            <w:r w:rsidRPr="00D84E94">
              <w:t>6.7</w:t>
            </w:r>
            <w:r>
              <w:tab/>
            </w:r>
            <w:r w:rsidRPr="00D84E94">
              <w:t xml:space="preserve">Attend to </w:t>
            </w:r>
            <w:proofErr w:type="spellStart"/>
            <w:r w:rsidRPr="00D84E94">
              <w:t>extraprovincial</w:t>
            </w:r>
            <w:proofErr w:type="spellEnd"/>
            <w:r w:rsidRPr="00D84E94">
              <w:t xml:space="preserve"> registration of the target entity, if intending to ca</w:t>
            </w:r>
            <w:r w:rsidRPr="00BD0AEA">
              <w:t>rry on business outside British Colu</w:t>
            </w:r>
            <w:r w:rsidRPr="003D528B">
              <w:t>mbia. See “</w:t>
            </w:r>
            <w:r w:rsidRPr="007937FA">
              <w:t>Manitoba joins NWPTA</w:t>
            </w:r>
            <w:r w:rsidRPr="00D84E94">
              <w:t xml:space="preserve">” under “New developments” in this checklist regarding the New West Partnership Trade Agreement and </w:t>
            </w:r>
            <w:proofErr w:type="spellStart"/>
            <w:r w:rsidRPr="00D84E94">
              <w:t>extraprovincial</w:t>
            </w:r>
            <w:proofErr w:type="spellEnd"/>
            <w:r w:rsidRPr="00D84E94">
              <w:t xml:space="preserve"> registr</w:t>
            </w:r>
            <w:r w:rsidRPr="00D74CE0">
              <w:t>a</w:t>
            </w:r>
            <w:r w:rsidRPr="00D84E94">
              <w:t>tion.</w:t>
            </w:r>
          </w:p>
        </w:tc>
        <w:tc>
          <w:tcPr>
            <w:tcW w:w="450" w:type="dxa"/>
            <w:tcBorders>
              <w:left w:val="single" w:sz="6" w:space="0" w:color="auto"/>
            </w:tcBorders>
          </w:tcPr>
          <w:p w14:paraId="207709D7" w14:textId="77777777" w:rsidR="005E6C8C" w:rsidRPr="00D74CE0" w:rsidRDefault="005E6C8C" w:rsidP="005E6C8C">
            <w:pPr>
              <w:pStyle w:val="Level111G1"/>
            </w:pPr>
          </w:p>
        </w:tc>
        <w:tc>
          <w:tcPr>
            <w:tcW w:w="450" w:type="dxa"/>
            <w:tcBorders>
              <w:left w:val="single" w:sz="6" w:space="0" w:color="auto"/>
            </w:tcBorders>
          </w:tcPr>
          <w:p w14:paraId="11C13023" w14:textId="77777777" w:rsidR="005E6C8C" w:rsidRPr="00CA6574" w:rsidRDefault="005E6C8C" w:rsidP="005E6C8C">
            <w:pPr>
              <w:pStyle w:val="Level111G1"/>
            </w:pPr>
          </w:p>
        </w:tc>
        <w:tc>
          <w:tcPr>
            <w:tcW w:w="450" w:type="dxa"/>
            <w:tcBorders>
              <w:left w:val="single" w:sz="6" w:space="0" w:color="auto"/>
            </w:tcBorders>
          </w:tcPr>
          <w:p w14:paraId="3B605694" w14:textId="77777777" w:rsidR="005E6C8C" w:rsidRPr="00CA6574" w:rsidRDefault="005E6C8C" w:rsidP="005E6C8C">
            <w:pPr>
              <w:pStyle w:val="Level111G1"/>
            </w:pPr>
          </w:p>
        </w:tc>
        <w:tc>
          <w:tcPr>
            <w:tcW w:w="1001" w:type="dxa"/>
            <w:tcBorders>
              <w:left w:val="single" w:sz="6" w:space="0" w:color="auto"/>
            </w:tcBorders>
          </w:tcPr>
          <w:p w14:paraId="79E63784" w14:textId="77777777" w:rsidR="005E6C8C" w:rsidRPr="00CA6574" w:rsidRDefault="005E6C8C" w:rsidP="005E6C8C">
            <w:pPr>
              <w:pStyle w:val="Level111G1"/>
            </w:pPr>
          </w:p>
        </w:tc>
        <w:tc>
          <w:tcPr>
            <w:tcW w:w="1001" w:type="dxa"/>
            <w:tcBorders>
              <w:left w:val="single" w:sz="6" w:space="0" w:color="auto"/>
            </w:tcBorders>
          </w:tcPr>
          <w:p w14:paraId="0FECB54C" w14:textId="77777777" w:rsidR="005E6C8C" w:rsidRPr="00CA6574" w:rsidRDefault="005E6C8C" w:rsidP="005E6C8C">
            <w:pPr>
              <w:pStyle w:val="Level111G1"/>
            </w:pPr>
          </w:p>
        </w:tc>
      </w:tr>
      <w:tr w:rsidR="005E6C8C" w:rsidRPr="00CA6574" w14:paraId="4C612FFB" w14:textId="77777777">
        <w:trPr>
          <w:cantSplit/>
        </w:trPr>
        <w:tc>
          <w:tcPr>
            <w:tcW w:w="6948" w:type="dxa"/>
          </w:tcPr>
          <w:p w14:paraId="54C3C982" w14:textId="77777777" w:rsidR="005E6C8C" w:rsidRPr="00CA6574" w:rsidRDefault="005E6C8C" w:rsidP="005E6C8C">
            <w:pPr>
              <w:pStyle w:val="NumberedheadingGH"/>
              <w:ind w:left="0" w:firstLine="0"/>
            </w:pPr>
            <w:r w:rsidRPr="00CA6574">
              <w:t>7.</w:t>
            </w:r>
            <w:r w:rsidRPr="00CA6574">
              <w:tab/>
              <w:t>POST CLOSING</w:t>
            </w:r>
          </w:p>
        </w:tc>
        <w:tc>
          <w:tcPr>
            <w:tcW w:w="450" w:type="dxa"/>
            <w:tcBorders>
              <w:left w:val="single" w:sz="6" w:space="0" w:color="auto"/>
            </w:tcBorders>
          </w:tcPr>
          <w:p w14:paraId="761655DE" w14:textId="77777777" w:rsidR="005E6C8C" w:rsidRPr="00CA6574" w:rsidRDefault="005E6C8C" w:rsidP="005E6C8C">
            <w:pPr>
              <w:pStyle w:val="NumberedheadingGH"/>
              <w:jc w:val="center"/>
            </w:pPr>
          </w:p>
        </w:tc>
        <w:tc>
          <w:tcPr>
            <w:tcW w:w="450" w:type="dxa"/>
            <w:tcBorders>
              <w:left w:val="single" w:sz="6" w:space="0" w:color="auto"/>
            </w:tcBorders>
          </w:tcPr>
          <w:p w14:paraId="51E91717" w14:textId="77777777" w:rsidR="005E6C8C" w:rsidRPr="00CA6574" w:rsidRDefault="005E6C8C" w:rsidP="005E6C8C">
            <w:pPr>
              <w:pStyle w:val="NumberedheadingGH"/>
              <w:jc w:val="center"/>
            </w:pPr>
          </w:p>
        </w:tc>
        <w:tc>
          <w:tcPr>
            <w:tcW w:w="450" w:type="dxa"/>
            <w:tcBorders>
              <w:left w:val="single" w:sz="6" w:space="0" w:color="auto"/>
            </w:tcBorders>
          </w:tcPr>
          <w:p w14:paraId="7627A757" w14:textId="77777777" w:rsidR="005E6C8C" w:rsidRPr="00CA6574" w:rsidRDefault="005E6C8C" w:rsidP="005E6C8C">
            <w:pPr>
              <w:pStyle w:val="NumberedheadingGH"/>
              <w:jc w:val="center"/>
            </w:pPr>
          </w:p>
        </w:tc>
        <w:tc>
          <w:tcPr>
            <w:tcW w:w="1001" w:type="dxa"/>
            <w:tcBorders>
              <w:left w:val="single" w:sz="6" w:space="0" w:color="auto"/>
            </w:tcBorders>
          </w:tcPr>
          <w:p w14:paraId="6A4BBA93" w14:textId="77777777" w:rsidR="005E6C8C" w:rsidRPr="00CA6574" w:rsidRDefault="005E6C8C" w:rsidP="005E6C8C">
            <w:pPr>
              <w:pStyle w:val="NumberedheadingGH"/>
              <w:jc w:val="center"/>
            </w:pPr>
          </w:p>
        </w:tc>
        <w:tc>
          <w:tcPr>
            <w:tcW w:w="1001" w:type="dxa"/>
            <w:tcBorders>
              <w:left w:val="single" w:sz="6" w:space="0" w:color="auto"/>
            </w:tcBorders>
          </w:tcPr>
          <w:p w14:paraId="764190E9" w14:textId="77777777" w:rsidR="005E6C8C" w:rsidRPr="00CA6574" w:rsidRDefault="005E6C8C" w:rsidP="005E6C8C">
            <w:pPr>
              <w:pStyle w:val="NumberedheadingGH"/>
              <w:jc w:val="center"/>
            </w:pPr>
          </w:p>
        </w:tc>
      </w:tr>
      <w:tr w:rsidR="005E6C8C" w:rsidRPr="00CA6574" w14:paraId="48B4E63A" w14:textId="77777777" w:rsidTr="00D60FD0">
        <w:trPr>
          <w:cantSplit/>
          <w:trHeight w:val="1836"/>
        </w:trPr>
        <w:tc>
          <w:tcPr>
            <w:tcW w:w="6948" w:type="dxa"/>
          </w:tcPr>
          <w:p w14:paraId="477A9B42" w14:textId="77777777" w:rsidR="005E6C8C" w:rsidRPr="00CA6574" w:rsidRDefault="005E6C8C" w:rsidP="005E6C8C">
            <w:pPr>
              <w:pStyle w:val="Level111G1"/>
              <w:spacing w:before="50" w:after="50"/>
              <w:ind w:left="907" w:hanging="907"/>
            </w:pPr>
            <w:r w:rsidRPr="00CA6574">
              <w:tab/>
              <w:t>7.1</w:t>
            </w:r>
            <w:r w:rsidRPr="00CA6574">
              <w:tab/>
              <w:t xml:space="preserve">Prepare a reporting letter and account as soon as practicable after closing. Forward the documents to the client and indicate those matters requiring further action. </w:t>
            </w:r>
            <w:proofErr w:type="gramStart"/>
            <w:r w:rsidRPr="00CA6574">
              <w:t>Alternatively</w:t>
            </w:r>
            <w:proofErr w:type="gramEnd"/>
            <w:r>
              <w:t xml:space="preserve"> or additionally</w:t>
            </w:r>
            <w:r w:rsidRPr="00CA6574">
              <w:t>, advise the client to review the documents to determine what further action is required.</w:t>
            </w:r>
            <w:r>
              <w:t xml:space="preserve"> C</w:t>
            </w:r>
            <w:r w:rsidRPr="00CA6574">
              <w:t>onsider including a “post</w:t>
            </w:r>
            <w:r>
              <w:t>-</w:t>
            </w:r>
            <w:r w:rsidRPr="00CA6574">
              <w:t>closing” section in the closing agenda, setting out all post-closing matters (e.g., filings, registrations, deferred payments, press releases), and the party responsible for each matter.</w:t>
            </w:r>
          </w:p>
        </w:tc>
        <w:tc>
          <w:tcPr>
            <w:tcW w:w="450" w:type="dxa"/>
            <w:tcBorders>
              <w:left w:val="single" w:sz="6" w:space="0" w:color="auto"/>
            </w:tcBorders>
          </w:tcPr>
          <w:p w14:paraId="45A2FC1B" w14:textId="77777777" w:rsidR="005E6C8C" w:rsidRPr="00CA6574" w:rsidRDefault="005E6C8C" w:rsidP="005E6C8C">
            <w:pPr>
              <w:pStyle w:val="Level111G1"/>
            </w:pPr>
          </w:p>
        </w:tc>
        <w:tc>
          <w:tcPr>
            <w:tcW w:w="450" w:type="dxa"/>
            <w:tcBorders>
              <w:left w:val="single" w:sz="6" w:space="0" w:color="auto"/>
            </w:tcBorders>
          </w:tcPr>
          <w:p w14:paraId="18AE7C71" w14:textId="77777777" w:rsidR="005E6C8C" w:rsidRPr="00CA6574" w:rsidRDefault="005E6C8C" w:rsidP="005E6C8C">
            <w:pPr>
              <w:pStyle w:val="Level111G1"/>
            </w:pPr>
          </w:p>
        </w:tc>
        <w:tc>
          <w:tcPr>
            <w:tcW w:w="450" w:type="dxa"/>
            <w:tcBorders>
              <w:left w:val="single" w:sz="6" w:space="0" w:color="auto"/>
            </w:tcBorders>
          </w:tcPr>
          <w:p w14:paraId="78E8AC5A" w14:textId="77777777" w:rsidR="005E6C8C" w:rsidRPr="00CA6574" w:rsidRDefault="005E6C8C" w:rsidP="005E6C8C">
            <w:pPr>
              <w:pStyle w:val="Level111G1"/>
            </w:pPr>
          </w:p>
        </w:tc>
        <w:tc>
          <w:tcPr>
            <w:tcW w:w="1001" w:type="dxa"/>
            <w:tcBorders>
              <w:left w:val="single" w:sz="6" w:space="0" w:color="auto"/>
            </w:tcBorders>
          </w:tcPr>
          <w:p w14:paraId="1128E678" w14:textId="77777777" w:rsidR="005E6C8C" w:rsidRPr="00CA6574" w:rsidRDefault="005E6C8C" w:rsidP="005E6C8C">
            <w:pPr>
              <w:pStyle w:val="Level111G1"/>
            </w:pPr>
          </w:p>
        </w:tc>
        <w:tc>
          <w:tcPr>
            <w:tcW w:w="1001" w:type="dxa"/>
            <w:tcBorders>
              <w:left w:val="single" w:sz="6" w:space="0" w:color="auto"/>
            </w:tcBorders>
          </w:tcPr>
          <w:p w14:paraId="691E411D" w14:textId="77777777" w:rsidR="005E6C8C" w:rsidRPr="00CA6574" w:rsidRDefault="005E6C8C" w:rsidP="005E6C8C">
            <w:pPr>
              <w:pStyle w:val="Level111G1"/>
            </w:pPr>
          </w:p>
        </w:tc>
      </w:tr>
      <w:tr w:rsidR="005E6C8C" w:rsidRPr="00CA6574" w14:paraId="09DC7661" w14:textId="77777777" w:rsidTr="00095A61">
        <w:trPr>
          <w:cantSplit/>
          <w:trHeight w:val="558"/>
        </w:trPr>
        <w:tc>
          <w:tcPr>
            <w:tcW w:w="6948" w:type="dxa"/>
          </w:tcPr>
          <w:p w14:paraId="52DCB597" w14:textId="57E60BEE" w:rsidR="005E6C8C" w:rsidRPr="00CA6574" w:rsidRDefault="005E6C8C" w:rsidP="00CC3B25">
            <w:pPr>
              <w:pStyle w:val="Level111G1"/>
              <w:spacing w:before="50" w:after="50"/>
              <w:ind w:left="907" w:hanging="907"/>
            </w:pPr>
            <w:r w:rsidRPr="0021164B">
              <w:lastRenderedPageBreak/>
              <w:tab/>
              <w:t>7.</w:t>
            </w:r>
            <w:r>
              <w:t>2</w:t>
            </w:r>
            <w:r w:rsidRPr="0021164B">
              <w:tab/>
            </w:r>
            <w:r>
              <w:t>Diarize any key post-closing dates and communicate applicable dates to the client and other advisors</w:t>
            </w:r>
            <w:r w:rsidR="00CC3B25">
              <w:t>.</w:t>
            </w:r>
          </w:p>
        </w:tc>
        <w:tc>
          <w:tcPr>
            <w:tcW w:w="450" w:type="dxa"/>
            <w:tcBorders>
              <w:left w:val="single" w:sz="6" w:space="0" w:color="auto"/>
            </w:tcBorders>
          </w:tcPr>
          <w:p w14:paraId="782F426F" w14:textId="77777777" w:rsidR="005E6C8C" w:rsidRPr="00CA6574" w:rsidRDefault="005E6C8C" w:rsidP="005E6C8C">
            <w:pPr>
              <w:pStyle w:val="Level111G1"/>
            </w:pPr>
          </w:p>
        </w:tc>
        <w:tc>
          <w:tcPr>
            <w:tcW w:w="450" w:type="dxa"/>
            <w:tcBorders>
              <w:left w:val="single" w:sz="6" w:space="0" w:color="auto"/>
            </w:tcBorders>
          </w:tcPr>
          <w:p w14:paraId="4814A1B2" w14:textId="77777777" w:rsidR="005E6C8C" w:rsidRPr="00CA6574" w:rsidRDefault="005E6C8C" w:rsidP="005E6C8C">
            <w:pPr>
              <w:pStyle w:val="Level111G1"/>
            </w:pPr>
          </w:p>
        </w:tc>
        <w:tc>
          <w:tcPr>
            <w:tcW w:w="450" w:type="dxa"/>
            <w:tcBorders>
              <w:left w:val="single" w:sz="6" w:space="0" w:color="auto"/>
            </w:tcBorders>
          </w:tcPr>
          <w:p w14:paraId="5A8C0FCA" w14:textId="77777777" w:rsidR="005E6C8C" w:rsidRPr="00CA6574" w:rsidRDefault="005E6C8C" w:rsidP="005E6C8C">
            <w:pPr>
              <w:pStyle w:val="Level111G1"/>
            </w:pPr>
          </w:p>
        </w:tc>
        <w:tc>
          <w:tcPr>
            <w:tcW w:w="1001" w:type="dxa"/>
            <w:tcBorders>
              <w:left w:val="single" w:sz="6" w:space="0" w:color="auto"/>
            </w:tcBorders>
          </w:tcPr>
          <w:p w14:paraId="4A46A853" w14:textId="77777777" w:rsidR="005E6C8C" w:rsidRPr="00CA6574" w:rsidRDefault="005E6C8C" w:rsidP="005E6C8C">
            <w:pPr>
              <w:pStyle w:val="Level111G1"/>
            </w:pPr>
          </w:p>
        </w:tc>
        <w:tc>
          <w:tcPr>
            <w:tcW w:w="1001" w:type="dxa"/>
            <w:tcBorders>
              <w:left w:val="single" w:sz="6" w:space="0" w:color="auto"/>
            </w:tcBorders>
          </w:tcPr>
          <w:p w14:paraId="13B4603B" w14:textId="77777777" w:rsidR="005E6C8C" w:rsidRPr="00CA6574" w:rsidRDefault="005E6C8C" w:rsidP="005E6C8C">
            <w:pPr>
              <w:pStyle w:val="Level111G1"/>
            </w:pPr>
          </w:p>
        </w:tc>
      </w:tr>
      <w:tr w:rsidR="005E6C8C" w:rsidRPr="00CA6574" w14:paraId="1A70D5D4" w14:textId="2221DC91" w:rsidTr="00CE68AC">
        <w:trPr>
          <w:cantSplit/>
          <w:trHeight w:val="558"/>
        </w:trPr>
        <w:tc>
          <w:tcPr>
            <w:tcW w:w="6948" w:type="dxa"/>
          </w:tcPr>
          <w:p w14:paraId="5EF1201A" w14:textId="5B0BD78B" w:rsidR="005E6C8C" w:rsidRPr="00CA6574" w:rsidRDefault="005E6C8C" w:rsidP="005E6C8C">
            <w:pPr>
              <w:pStyle w:val="Level111G1"/>
              <w:spacing w:before="50" w:after="50"/>
              <w:ind w:left="907" w:hanging="907"/>
            </w:pPr>
            <w:r w:rsidRPr="0021164B">
              <w:tab/>
              <w:t>7.</w:t>
            </w:r>
            <w:r w:rsidR="00CC3B25">
              <w:t>3</w:t>
            </w:r>
            <w:r w:rsidRPr="0021164B">
              <w:tab/>
            </w:r>
            <w:r>
              <w:t>Remind</w:t>
            </w:r>
            <w:r w:rsidRPr="0021164B">
              <w:t xml:space="preserve"> the client to </w:t>
            </w:r>
            <w:r>
              <w:t>make any</w:t>
            </w:r>
            <w:r w:rsidRPr="0021164B">
              <w:t xml:space="preserve"> tax </w:t>
            </w:r>
            <w:r>
              <w:t xml:space="preserve">filings </w:t>
            </w:r>
            <w:r w:rsidRPr="0021164B">
              <w:t>in time</w:t>
            </w:r>
            <w:r>
              <w:t xml:space="preserve">; </w:t>
            </w:r>
            <w:r w:rsidRPr="0021164B">
              <w:t xml:space="preserve">advise the client to confirm with </w:t>
            </w:r>
            <w:r>
              <w:t>their</w:t>
            </w:r>
            <w:r w:rsidRPr="0021164B">
              <w:t xml:space="preserve"> tax advisor </w:t>
            </w:r>
            <w:r>
              <w:t>what</w:t>
            </w:r>
            <w:r w:rsidRPr="0021164B">
              <w:t xml:space="preserve"> filings are required.</w:t>
            </w:r>
          </w:p>
        </w:tc>
        <w:tc>
          <w:tcPr>
            <w:tcW w:w="450" w:type="dxa"/>
            <w:tcBorders>
              <w:left w:val="single" w:sz="6" w:space="0" w:color="auto"/>
            </w:tcBorders>
          </w:tcPr>
          <w:p w14:paraId="636967E6" w14:textId="2E04FC60" w:rsidR="005E6C8C" w:rsidRPr="00CA6574" w:rsidRDefault="005E6C8C" w:rsidP="005E6C8C">
            <w:pPr>
              <w:pStyle w:val="Level111G1"/>
            </w:pPr>
          </w:p>
        </w:tc>
        <w:tc>
          <w:tcPr>
            <w:tcW w:w="450" w:type="dxa"/>
            <w:tcBorders>
              <w:left w:val="single" w:sz="6" w:space="0" w:color="auto"/>
            </w:tcBorders>
          </w:tcPr>
          <w:p w14:paraId="5DC3D651" w14:textId="1052B995" w:rsidR="005E6C8C" w:rsidRPr="00CA6574" w:rsidRDefault="005E6C8C" w:rsidP="005E6C8C">
            <w:pPr>
              <w:pStyle w:val="Level111G1"/>
            </w:pPr>
          </w:p>
        </w:tc>
        <w:tc>
          <w:tcPr>
            <w:tcW w:w="450" w:type="dxa"/>
            <w:tcBorders>
              <w:left w:val="single" w:sz="6" w:space="0" w:color="auto"/>
            </w:tcBorders>
          </w:tcPr>
          <w:p w14:paraId="3D01D39E" w14:textId="50A64047" w:rsidR="005E6C8C" w:rsidRPr="00CA6574" w:rsidRDefault="005E6C8C" w:rsidP="005E6C8C">
            <w:pPr>
              <w:pStyle w:val="Level111G1"/>
            </w:pPr>
          </w:p>
        </w:tc>
        <w:tc>
          <w:tcPr>
            <w:tcW w:w="1001" w:type="dxa"/>
            <w:tcBorders>
              <w:left w:val="single" w:sz="6" w:space="0" w:color="auto"/>
            </w:tcBorders>
          </w:tcPr>
          <w:p w14:paraId="0A202759" w14:textId="14FCB1A5" w:rsidR="005E6C8C" w:rsidRPr="00CA6574" w:rsidRDefault="005E6C8C" w:rsidP="005E6C8C">
            <w:pPr>
              <w:pStyle w:val="Level111G1"/>
            </w:pPr>
          </w:p>
        </w:tc>
        <w:tc>
          <w:tcPr>
            <w:tcW w:w="1001" w:type="dxa"/>
            <w:tcBorders>
              <w:left w:val="single" w:sz="6" w:space="0" w:color="auto"/>
            </w:tcBorders>
          </w:tcPr>
          <w:p w14:paraId="0E9237BC" w14:textId="3D37D637" w:rsidR="005E6C8C" w:rsidRPr="00CA6574" w:rsidRDefault="005E6C8C" w:rsidP="005E6C8C">
            <w:pPr>
              <w:pStyle w:val="Level111G1"/>
            </w:pPr>
          </w:p>
        </w:tc>
      </w:tr>
      <w:tr w:rsidR="005E6C8C" w:rsidRPr="00CA6574" w14:paraId="1E4B7C18" w14:textId="77777777" w:rsidTr="00CB4296">
        <w:trPr>
          <w:cantSplit/>
          <w:trHeight w:val="11745"/>
        </w:trPr>
        <w:tc>
          <w:tcPr>
            <w:tcW w:w="6948" w:type="dxa"/>
          </w:tcPr>
          <w:p w14:paraId="655E89D8" w14:textId="599C4553" w:rsidR="005E6C8C" w:rsidRDefault="005E6C8C" w:rsidP="005E6C8C">
            <w:pPr>
              <w:pStyle w:val="Level111G1"/>
              <w:spacing w:before="50" w:after="50"/>
              <w:ind w:left="907" w:hanging="907"/>
            </w:pPr>
            <w:r>
              <w:tab/>
              <w:t>7.</w:t>
            </w:r>
            <w:r w:rsidR="006452C9">
              <w:t>4</w:t>
            </w:r>
            <w:r w:rsidRPr="00CA6574">
              <w:tab/>
            </w:r>
            <w:r w:rsidRPr="007A30FF">
              <w:t xml:space="preserve">Close the file. See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w:t>
            </w:r>
            <w:r w:rsidRPr="007A30FF">
              <w:t>(A-2) checklist.</w:t>
            </w:r>
          </w:p>
          <w:p w14:paraId="75C7F822" w14:textId="4CCC89BC" w:rsidR="005E6C8C" w:rsidRPr="00CA6574" w:rsidRDefault="005E6C8C" w:rsidP="0046711C">
            <w:pPr>
              <w:pStyle w:val="Level111G1"/>
              <w:spacing w:before="50" w:after="50"/>
              <w:ind w:left="0" w:firstLine="0"/>
            </w:pPr>
          </w:p>
        </w:tc>
        <w:tc>
          <w:tcPr>
            <w:tcW w:w="450" w:type="dxa"/>
            <w:tcBorders>
              <w:left w:val="single" w:sz="6" w:space="0" w:color="auto"/>
            </w:tcBorders>
          </w:tcPr>
          <w:p w14:paraId="1387338E" w14:textId="77777777" w:rsidR="005E6C8C" w:rsidRPr="00CA6574" w:rsidRDefault="005E6C8C" w:rsidP="005E6C8C">
            <w:pPr>
              <w:pStyle w:val="Level111G1"/>
            </w:pPr>
          </w:p>
        </w:tc>
        <w:tc>
          <w:tcPr>
            <w:tcW w:w="450" w:type="dxa"/>
            <w:tcBorders>
              <w:left w:val="single" w:sz="6" w:space="0" w:color="auto"/>
            </w:tcBorders>
          </w:tcPr>
          <w:p w14:paraId="44D18429" w14:textId="77777777" w:rsidR="005E6C8C" w:rsidRPr="00CA6574" w:rsidRDefault="005E6C8C" w:rsidP="005E6C8C">
            <w:pPr>
              <w:pStyle w:val="Level111G1"/>
            </w:pPr>
          </w:p>
        </w:tc>
        <w:tc>
          <w:tcPr>
            <w:tcW w:w="450" w:type="dxa"/>
            <w:tcBorders>
              <w:left w:val="single" w:sz="6" w:space="0" w:color="auto"/>
            </w:tcBorders>
          </w:tcPr>
          <w:p w14:paraId="34C7EDDD" w14:textId="77777777" w:rsidR="005E6C8C" w:rsidRPr="00CA6574" w:rsidRDefault="005E6C8C" w:rsidP="005E6C8C">
            <w:pPr>
              <w:pStyle w:val="Level111G1"/>
            </w:pPr>
          </w:p>
        </w:tc>
        <w:tc>
          <w:tcPr>
            <w:tcW w:w="1001" w:type="dxa"/>
            <w:tcBorders>
              <w:left w:val="single" w:sz="6" w:space="0" w:color="auto"/>
            </w:tcBorders>
          </w:tcPr>
          <w:p w14:paraId="74FD105F" w14:textId="77777777" w:rsidR="005E6C8C" w:rsidRPr="00CA6574" w:rsidRDefault="005E6C8C" w:rsidP="005E6C8C">
            <w:pPr>
              <w:pStyle w:val="Level111G1"/>
            </w:pPr>
          </w:p>
        </w:tc>
        <w:tc>
          <w:tcPr>
            <w:tcW w:w="1001" w:type="dxa"/>
            <w:tcBorders>
              <w:left w:val="single" w:sz="6" w:space="0" w:color="auto"/>
            </w:tcBorders>
          </w:tcPr>
          <w:p w14:paraId="2B6A0B97" w14:textId="77777777" w:rsidR="005E6C8C" w:rsidRPr="00CA6574" w:rsidRDefault="005E6C8C" w:rsidP="005E6C8C">
            <w:pPr>
              <w:pStyle w:val="Level111G1"/>
            </w:pPr>
          </w:p>
        </w:tc>
      </w:tr>
    </w:tbl>
    <w:p w14:paraId="184E7420" w14:textId="77777777" w:rsidR="00CB4296" w:rsidRDefault="00CB4296" w:rsidP="006668A3">
      <w:pPr>
        <w:tabs>
          <w:tab w:val="clear" w:pos="6840"/>
          <w:tab w:val="clear" w:pos="7272"/>
          <w:tab w:val="clear" w:pos="7704"/>
          <w:tab w:val="clear" w:pos="8136"/>
          <w:tab w:val="clear" w:pos="9144"/>
        </w:tabs>
        <w:overflowPunct/>
        <w:autoSpaceDE/>
        <w:autoSpaceDN/>
        <w:adjustRightInd/>
        <w:spacing w:after="0"/>
        <w:ind w:right="0"/>
        <w:jc w:val="left"/>
        <w:textAlignment w:val="auto"/>
        <w:sectPr w:rsidR="00CB4296" w:rsidSect="008B5265">
          <w:headerReference w:type="even" r:id="rId22"/>
          <w:headerReference w:type="default" r:id="rId23"/>
          <w:footerReference w:type="even" r:id="rId24"/>
          <w:footerReference w:type="default" r:id="rId25"/>
          <w:footerReference w:type="first" r:id="rId26"/>
          <w:endnotePr>
            <w:numFmt w:val="decimal"/>
          </w:endnotePr>
          <w:pgSz w:w="12240" w:h="15840" w:code="1"/>
          <w:pgMar w:top="1080" w:right="720" w:bottom="900" w:left="720" w:header="360" w:footer="360" w:gutter="720"/>
          <w:cols w:space="720"/>
          <w:noEndnote/>
        </w:sectPr>
      </w:pPr>
    </w:p>
    <w:p w14:paraId="352F9FE1" w14:textId="1357546C" w:rsidR="004B27F4" w:rsidRPr="00CA6574" w:rsidRDefault="004B27F4" w:rsidP="006668A3">
      <w:pPr>
        <w:tabs>
          <w:tab w:val="clear" w:pos="6840"/>
          <w:tab w:val="clear" w:pos="7272"/>
          <w:tab w:val="clear" w:pos="7704"/>
          <w:tab w:val="clear" w:pos="8136"/>
          <w:tab w:val="clear" w:pos="9144"/>
        </w:tabs>
        <w:overflowPunct/>
        <w:autoSpaceDE/>
        <w:autoSpaceDN/>
        <w:adjustRightInd/>
        <w:spacing w:after="0"/>
        <w:ind w:right="0"/>
        <w:jc w:val="left"/>
        <w:textAlignment w:val="auto"/>
      </w:pPr>
    </w:p>
    <w:sectPr w:rsidR="004B27F4" w:rsidRPr="00CA6574" w:rsidSect="008B5265">
      <w:headerReference w:type="even" r:id="rId27"/>
      <w:footerReference w:type="even" r:id="rId28"/>
      <w:endnotePr>
        <w:numFmt w:val="decimal"/>
      </w:endnotePr>
      <w:pgSz w:w="12240" w:h="15840" w:code="1"/>
      <w:pgMar w:top="1080" w:right="720" w:bottom="90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4CB3D" w14:textId="77777777" w:rsidR="00766CE7" w:rsidRDefault="00766CE7">
      <w:pPr>
        <w:spacing w:line="20" w:lineRule="exact"/>
      </w:pPr>
    </w:p>
  </w:endnote>
  <w:endnote w:type="continuationSeparator" w:id="0">
    <w:p w14:paraId="557DF7F9" w14:textId="77777777" w:rsidR="00766CE7" w:rsidRDefault="00766CE7">
      <w:r>
        <w:t xml:space="preserve"> </w:t>
      </w:r>
    </w:p>
  </w:endnote>
  <w:endnote w:type="continuationNotice" w:id="1">
    <w:p w14:paraId="56456C7D" w14:textId="77777777" w:rsidR="00766CE7" w:rsidRDefault="00766C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6F71" w14:textId="0C6DA255"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16</w:t>
    </w:r>
    <w:r>
      <w:rPr>
        <w:rStyle w:val="PageNumber"/>
        <w:sz w:val="22"/>
      </w:rPr>
      <w:fldChar w:fldCharType="end"/>
    </w:r>
    <w:r>
      <w:rPr>
        <w:rStyle w:val="PageNumber"/>
        <w:sz w:val="22"/>
      </w:rPr>
      <w:tab/>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D72B" w14:textId="1EDB4096"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rStyle w:val="PageNumber"/>
        <w:sz w:val="22"/>
      </w:rPr>
      <w:t>11/23</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17</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DC5D" w14:textId="77777777" w:rsidR="00766CE7" w:rsidRDefault="00766CE7">
    <w:pPr>
      <w:tabs>
        <w:tab w:val="center" w:pos="4680"/>
        <w:tab w:val="right" w:pos="9360"/>
      </w:tabs>
      <w:spacing w:after="0"/>
    </w:pPr>
    <w:bookmarkStart w:id="1" w:name="eDOCS_Footer_FirstPage"/>
    <w:r>
      <w:rPr>
        <w:rFonts w:ascii="Calibri" w:hAnsi="Calibri" w:cs="Calibri"/>
        <w:sz w:val="22"/>
      </w:rPr>
      <w:t>DM4186658</w:t>
    </w:r>
  </w:p>
  <w:bookmarkEnd w:id="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CEF8" w14:textId="56A607F0"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25FB" w14:textId="77777777" w:rsidR="00766CE7" w:rsidRDefault="00766CE7">
      <w:r>
        <w:separator/>
      </w:r>
    </w:p>
    <w:p w14:paraId="5D42F38F" w14:textId="77777777" w:rsidR="00766CE7" w:rsidRDefault="00766CE7"/>
    <w:p w14:paraId="6C86ABEF" w14:textId="77777777" w:rsidR="00766CE7" w:rsidRDefault="00766CE7">
      <w:pPr>
        <w:spacing w:line="20" w:lineRule="exact"/>
      </w:pPr>
    </w:p>
    <w:p w14:paraId="057EDAC0" w14:textId="77777777" w:rsidR="00766CE7" w:rsidRDefault="00766CE7"/>
    <w:p w14:paraId="6E9AB304" w14:textId="77777777" w:rsidR="00766CE7" w:rsidRDefault="00766CE7">
      <w:r>
        <w:t xml:space="preserve"> </w:t>
      </w:r>
    </w:p>
    <w:p w14:paraId="3FD2944B" w14:textId="77777777" w:rsidR="00766CE7" w:rsidRDefault="00766CE7"/>
    <w:p w14:paraId="0C8FD432" w14:textId="77777777" w:rsidR="00766CE7" w:rsidRDefault="00766CE7">
      <w:r>
        <w:t xml:space="preserve"> </w:t>
      </w:r>
    </w:p>
    <w:p w14:paraId="04CC3891" w14:textId="77777777" w:rsidR="00766CE7" w:rsidRDefault="00766CE7"/>
    <w:p w14:paraId="29A2C135" w14:textId="77777777" w:rsidR="00766CE7" w:rsidRDefault="00766CE7">
      <w:pPr>
        <w:pStyle w:val="NormalparagraphGN"/>
      </w:pPr>
    </w:p>
    <w:p w14:paraId="63DAE060" w14:textId="77777777" w:rsidR="00766CE7" w:rsidRDefault="00766CE7"/>
    <w:p w14:paraId="5EDE9FB6" w14:textId="77777777" w:rsidR="00766CE7" w:rsidRDefault="00766CE7">
      <w:pPr>
        <w:pStyle w:val="Footer"/>
        <w:tabs>
          <w:tab w:val="clear" w:pos="0"/>
          <w:tab w:val="clear" w:pos="4320"/>
          <w:tab w:val="clear" w:pos="6840"/>
          <w:tab w:val="clear" w:pos="7272"/>
          <w:tab w:val="clear" w:pos="7704"/>
          <w:tab w:val="clear" w:pos="8136"/>
          <w:tab w:val="clear" w:pos="8640"/>
          <w:tab w:val="clear" w:pos="9144"/>
        </w:tabs>
      </w:pPr>
    </w:p>
    <w:p w14:paraId="1DA1E4FB" w14:textId="77777777" w:rsidR="00766CE7" w:rsidRDefault="00766CE7"/>
    <w:p w14:paraId="66DA3F2F" w14:textId="77777777" w:rsidR="00766CE7" w:rsidRDefault="00766CE7">
      <w:pPr>
        <w:pStyle w:val="NormalparagraphGN"/>
      </w:pPr>
    </w:p>
    <w:p w14:paraId="5DB6CB49" w14:textId="77777777" w:rsidR="00766CE7" w:rsidRDefault="00766CE7"/>
    <w:p w14:paraId="48A187DC" w14:textId="77777777"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77E5E2AD" w14:textId="77777777" w:rsidR="00766CE7" w:rsidRDefault="00766CE7"/>
    <w:p w14:paraId="49360C4B"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w:t>
      </w:r>
      <w:r>
        <w:rPr>
          <w:b/>
          <w:sz w:val="22"/>
        </w:rPr>
        <w:br/>
        <w:t>PRACTICE CHECKLISTS MANUAL</w:t>
      </w:r>
      <w:r>
        <w:rPr>
          <w:b/>
          <w:sz w:val="22"/>
        </w:rPr>
        <w:tab/>
        <w:t>PROCEDURE</w:t>
      </w:r>
    </w:p>
    <w:p w14:paraId="3982866B" w14:textId="77777777" w:rsidR="00766CE7" w:rsidRDefault="00766CE7"/>
    <w:p w14:paraId="5F6B834C" w14:textId="77777777"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3A98DEF0" w14:textId="77777777" w:rsidR="00766CE7" w:rsidRDefault="00766CE7"/>
    <w:p w14:paraId="15AD7F59"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 AGREEMENT</w:t>
      </w:r>
      <w:r>
        <w:rPr>
          <w:b/>
          <w:sz w:val="22"/>
        </w:rPr>
        <w:br/>
        <w:t>PRACTICE CHECKLISTS MANUAL</w:t>
      </w:r>
      <w:r>
        <w:rPr>
          <w:b/>
          <w:sz w:val="22"/>
        </w:rPr>
        <w:tab/>
        <w:t>DRAFTING</w:t>
      </w:r>
    </w:p>
    <w:p w14:paraId="3BFB2ADC" w14:textId="77777777" w:rsidR="00766CE7" w:rsidRDefault="00766CE7">
      <w:pPr>
        <w:pStyle w:val="Header-Notes"/>
      </w:pPr>
      <w:r>
        <w:tab/>
        <w:t>PROVISIONS TO BE CONSIDERED</w:t>
      </w:r>
      <w:r>
        <w:tab/>
        <w:t>NOTES</w:t>
      </w:r>
    </w:p>
    <w:p w14:paraId="2DA8163C" w14:textId="77777777" w:rsidR="00766CE7" w:rsidRDefault="00766CE7">
      <w:r>
        <w:br/>
      </w:r>
    </w:p>
    <w:p w14:paraId="2469CD3F" w14:textId="77777777" w:rsidR="00766CE7" w:rsidRDefault="00766CE7"/>
    <w:p w14:paraId="09F3AE60" w14:textId="77777777"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64754D19" w14:textId="77777777" w:rsidR="00766CE7" w:rsidRDefault="00766CE7"/>
    <w:p w14:paraId="031BA914"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w:t>
      </w:r>
      <w:r>
        <w:rPr>
          <w:b/>
          <w:sz w:val="22"/>
        </w:rPr>
        <w:br/>
        <w:t>PRACTICE CHECKLISTS MANUAL</w:t>
      </w:r>
      <w:r>
        <w:rPr>
          <w:b/>
          <w:sz w:val="22"/>
        </w:rPr>
        <w:tab/>
        <w:t>PROCEDURE</w:t>
      </w:r>
    </w:p>
    <w:p w14:paraId="57321472" w14:textId="77777777" w:rsidR="00766CE7" w:rsidRDefault="00766CE7">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7472B64" w14:textId="77777777" w:rsidR="00766CE7" w:rsidRDefault="00766CE7">
      <w:r>
        <w:br/>
      </w:r>
    </w:p>
    <w:p w14:paraId="40585ADE" w14:textId="77777777" w:rsidR="00766CE7" w:rsidRDefault="00766CE7"/>
    <w:p w14:paraId="18A2D1B0" w14:textId="77777777"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39531B03" w14:textId="77777777" w:rsidR="00766CE7" w:rsidRDefault="00766CE7"/>
    <w:p w14:paraId="44402645"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p w14:paraId="6C08F949" w14:textId="77777777" w:rsidR="00766CE7" w:rsidRDefault="00766CE7">
      <w:pPr>
        <w:pStyle w:val="Header-Notes"/>
      </w:pPr>
      <w:r>
        <w:tab/>
        <w:t>PROVISIONS TO BE CONSIDERED</w:t>
      </w:r>
      <w:r>
        <w:tab/>
        <w:t>NOTES</w:t>
      </w:r>
    </w:p>
    <w:p w14:paraId="2F5045A7" w14:textId="77777777" w:rsidR="00766CE7" w:rsidRDefault="00766CE7">
      <w:r>
        <w:br/>
      </w:r>
    </w:p>
    <w:p w14:paraId="358CF34E" w14:textId="77777777" w:rsidR="00766CE7" w:rsidRDefault="00766CE7"/>
    <w:p w14:paraId="7B5ED6CB" w14:textId="77777777"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00631353" w14:textId="77777777" w:rsidR="00766CE7" w:rsidRDefault="00766CE7"/>
    <w:p w14:paraId="73E90814"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INCORPORATION UNDER THE B.C. COMPANY ACT</w:t>
      </w:r>
      <w:r>
        <w:rPr>
          <w:b/>
          <w:sz w:val="22"/>
        </w:rPr>
        <w:br/>
        <w:t>PRACTICE CHECKLISTS MANUAL</w:t>
      </w:r>
      <w:r>
        <w:rPr>
          <w:b/>
          <w:sz w:val="22"/>
        </w:rPr>
        <w:tab/>
        <w:t>PROCEDURE</w:t>
      </w:r>
    </w:p>
    <w:p w14:paraId="4DE7D88F" w14:textId="77777777" w:rsidR="00766CE7" w:rsidRDefault="00766CE7">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26BC063" w14:textId="77777777" w:rsidR="00766CE7" w:rsidRDefault="00766CE7">
      <w:r>
        <w:br/>
      </w:r>
    </w:p>
    <w:p w14:paraId="0AC07906" w14:textId="77777777" w:rsidR="00766CE7" w:rsidRDefault="00766CE7"/>
    <w:p w14:paraId="14EF939B" w14:textId="77777777"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45FE4C2B" w14:textId="77777777" w:rsidR="00766CE7" w:rsidRDefault="00766CE7"/>
    <w:p w14:paraId="47BCE390"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p w14:paraId="3472F244" w14:textId="77777777" w:rsidR="00766CE7" w:rsidRDefault="00766CE7">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8C4E435" w14:textId="77777777" w:rsidR="00766CE7" w:rsidRDefault="00766CE7">
      <w:r>
        <w:br/>
      </w:r>
    </w:p>
    <w:p w14:paraId="7473A65C" w14:textId="77777777" w:rsidR="00766CE7" w:rsidRDefault="00766CE7"/>
    <w:p w14:paraId="13C200D9" w14:textId="77777777"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14A74E31" w14:textId="77777777" w:rsidR="00766CE7" w:rsidRDefault="00766CE7"/>
    <w:p w14:paraId="716F5A9B"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57F3DDF9" w14:textId="77777777" w:rsidR="00766CE7" w:rsidRDefault="00766CE7">
      <w:pPr>
        <w:pStyle w:val="Header-Notes"/>
      </w:pPr>
      <w:r>
        <w:tab/>
        <w:t>PROVISIONS TO BE CONSIDERED</w:t>
      </w:r>
      <w:r>
        <w:tab/>
        <w:t>NOTES</w:t>
      </w:r>
    </w:p>
    <w:p w14:paraId="4197886D" w14:textId="77777777" w:rsidR="00766CE7" w:rsidRDefault="00766CE7">
      <w:r>
        <w:br/>
      </w:r>
    </w:p>
    <w:p w14:paraId="6D5997CF" w14:textId="77777777" w:rsidR="00766CE7" w:rsidRDefault="00766CE7"/>
    <w:p w14:paraId="2121D4B7" w14:textId="77777777"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29EA3557" w14:textId="77777777" w:rsidR="00766CE7" w:rsidRDefault="00766CE7"/>
    <w:p w14:paraId="190D21AD"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PROCEDURE</w:t>
      </w:r>
    </w:p>
    <w:p w14:paraId="27D19FDF" w14:textId="77777777" w:rsidR="00766CE7" w:rsidRDefault="00766CE7">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FEF066E" w14:textId="77777777" w:rsidR="00766CE7" w:rsidRDefault="00766CE7">
      <w:r>
        <w:br/>
      </w:r>
    </w:p>
    <w:p w14:paraId="7FD66A52" w14:textId="77777777" w:rsidR="00766CE7" w:rsidRDefault="00766CE7"/>
    <w:p w14:paraId="5FB9CD1D" w14:textId="77777777"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75FEBF27" w14:textId="77777777" w:rsidR="00766CE7" w:rsidRDefault="00766CE7"/>
    <w:p w14:paraId="48F83168"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DRAFTING</w:t>
      </w:r>
    </w:p>
    <w:p w14:paraId="748C2E88" w14:textId="77777777" w:rsidR="00766CE7" w:rsidRDefault="00766CE7">
      <w:pPr>
        <w:pStyle w:val="Header-Notes"/>
      </w:pPr>
      <w:r>
        <w:tab/>
        <w:t>PROVISIONS TO BE CONSIDERED</w:t>
      </w:r>
      <w:r>
        <w:tab/>
        <w:t>NOTES</w:t>
      </w:r>
    </w:p>
    <w:p w14:paraId="40E209BF" w14:textId="77777777" w:rsidR="00766CE7" w:rsidRDefault="00766CE7">
      <w:r>
        <w:br/>
      </w:r>
    </w:p>
    <w:p w14:paraId="3A9CC56B" w14:textId="77777777" w:rsidR="00766CE7" w:rsidRDefault="00766CE7"/>
    <w:p w14:paraId="2B4E7C54" w14:textId="77777777"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7D046FEA" w14:textId="77777777" w:rsidR="00766CE7" w:rsidRDefault="00766CE7"/>
    <w:p w14:paraId="2E465633"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p w14:paraId="5B65B579" w14:textId="77777777" w:rsidR="00766CE7" w:rsidRDefault="00766CE7">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7EFBFB7" w14:textId="77777777" w:rsidR="00766CE7" w:rsidRDefault="00766CE7">
      <w:r>
        <w:br/>
      </w:r>
    </w:p>
    <w:p w14:paraId="739ACABC" w14:textId="77777777" w:rsidR="00766CE7" w:rsidRDefault="00766CE7"/>
    <w:p w14:paraId="146086C9" w14:textId="77777777"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561F837E" w14:textId="77777777" w:rsidR="00766CE7" w:rsidRDefault="00766CE7"/>
    <w:p w14:paraId="120454A3"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DRAFTING</w:t>
      </w:r>
    </w:p>
    <w:p w14:paraId="4B2FBF37" w14:textId="77777777" w:rsidR="00766CE7" w:rsidRDefault="00766CE7">
      <w:pPr>
        <w:pStyle w:val="Header-Notes"/>
      </w:pPr>
      <w:r>
        <w:tab/>
        <w:t>PROVISIONS TO BE CONSIDERED</w:t>
      </w:r>
      <w:r>
        <w:tab/>
        <w:t>NOTES</w:t>
      </w:r>
    </w:p>
    <w:p w14:paraId="01C77E32" w14:textId="77777777" w:rsidR="00766CE7" w:rsidRDefault="00766CE7">
      <w:r>
        <w:br/>
      </w:r>
    </w:p>
    <w:p w14:paraId="5D40F624" w14:textId="77777777" w:rsidR="00766CE7" w:rsidRDefault="00766CE7"/>
    <w:p w14:paraId="202FA2D7" w14:textId="77777777"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5E86E1D4" w14:textId="77777777" w:rsidR="00766CE7" w:rsidRDefault="00766CE7"/>
    <w:p w14:paraId="7792660B"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PROCEDURE</w:t>
      </w:r>
    </w:p>
    <w:p w14:paraId="4661A0A4" w14:textId="77777777" w:rsidR="00766CE7" w:rsidRDefault="00766CE7">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A5C9C1B" w14:textId="77777777" w:rsidR="00766CE7" w:rsidRDefault="00766CE7">
      <w:r>
        <w:br/>
      </w:r>
    </w:p>
    <w:p w14:paraId="3DDD7A32" w14:textId="77777777" w:rsidR="00766CE7" w:rsidRDefault="00766CE7"/>
    <w:p w14:paraId="74A5A774" w14:textId="77777777"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1215FE6F" w14:textId="77777777" w:rsidR="00766CE7" w:rsidRDefault="00766CE7"/>
    <w:p w14:paraId="70CEB460"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p w14:paraId="44EAAEBA" w14:textId="77777777" w:rsidR="00766CE7" w:rsidRDefault="00766CE7">
      <w:pPr>
        <w:pStyle w:val="Header-Notes"/>
      </w:pPr>
      <w:r>
        <w:tab/>
        <w:t>PROVISIONS TO BE CONSIDERED</w:t>
      </w:r>
      <w:r>
        <w:tab/>
        <w:t>NOTES</w:t>
      </w:r>
    </w:p>
    <w:p w14:paraId="7A3DE61D" w14:textId="77777777" w:rsidR="00766CE7" w:rsidRDefault="00766CE7">
      <w:r>
        <w:br/>
      </w:r>
    </w:p>
    <w:p w14:paraId="33B1F0DB" w14:textId="77777777" w:rsidR="00766CE7" w:rsidRDefault="00766CE7"/>
    <w:p w14:paraId="4C71C106" w14:textId="77777777"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4306D740" w14:textId="77777777" w:rsidR="00766CE7" w:rsidRDefault="00766CE7"/>
    <w:p w14:paraId="787C8471"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PROBATE AND ADMINISTRATION</w:t>
      </w:r>
      <w:r>
        <w:rPr>
          <w:b/>
          <w:sz w:val="22"/>
        </w:rPr>
        <w:br/>
        <w:t>PRACTICE CHECKLISTS MANUAL</w:t>
      </w:r>
      <w:r>
        <w:rPr>
          <w:b/>
          <w:sz w:val="22"/>
        </w:rPr>
        <w:tab/>
        <w:t>PROCEDURE</w:t>
      </w:r>
    </w:p>
    <w:p w14:paraId="5BF1ED38" w14:textId="77777777" w:rsidR="00766CE7" w:rsidRDefault="00766CE7">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B265515" w14:textId="77777777" w:rsidR="00766CE7" w:rsidRDefault="00766CE7">
      <w:pPr>
        <w:spacing w:after="0"/>
        <w:ind w:right="0"/>
        <w:jc w:val="left"/>
      </w:pPr>
      <w:r>
        <w:br/>
      </w:r>
    </w:p>
    <w:p w14:paraId="389AFB5E" w14:textId="77777777" w:rsidR="00766CE7" w:rsidRDefault="00766CE7"/>
    <w:p w14:paraId="2CAA1EFD" w14:textId="77777777" w:rsidR="00766CE7" w:rsidRDefault="00766CE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9</w:t>
      </w:r>
      <w:r>
        <w:rPr>
          <w:rStyle w:val="PageNumber"/>
          <w:sz w:val="22"/>
        </w:rPr>
        <w:fldChar w:fldCharType="end"/>
      </w:r>
    </w:p>
    <w:p w14:paraId="1573A196" w14:textId="77777777" w:rsidR="00766CE7" w:rsidRDefault="00766CE7"/>
  </w:footnote>
  <w:footnote w:type="continuationSeparator" w:id="0">
    <w:p w14:paraId="043C7E8C" w14:textId="77777777" w:rsidR="00766CE7" w:rsidRDefault="00766CE7">
      <w:r>
        <w:continuationSeparator/>
      </w:r>
    </w:p>
  </w:footnote>
  <w:footnote w:type="continuationNotice" w:id="1">
    <w:p w14:paraId="72927139" w14:textId="77777777" w:rsidR="00766CE7" w:rsidRDefault="00766C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C021"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 xml:space="preserve">SHARE PURCHASE </w:t>
    </w:r>
    <w:r>
      <w:rPr>
        <w:b/>
        <w:sz w:val="22"/>
      </w:rPr>
      <w:tab/>
      <w:t>LAW SOCIETY OF BRITISH COLUMBIA</w:t>
    </w:r>
    <w:r>
      <w:rPr>
        <w:b/>
        <w:sz w:val="22"/>
      </w:rPr>
      <w:br/>
      <w:t xml:space="preserve">PROCEDURE </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32D3" w14:textId="77777777" w:rsidR="00766CE7" w:rsidRDefault="00766CE7">
    <w:pPr>
      <w:tabs>
        <w:tab w:val="clear" w:pos="6840"/>
        <w:tab w:val="clear" w:pos="7272"/>
        <w:tab w:val="clear" w:pos="7704"/>
        <w:tab w:val="clear" w:pos="8136"/>
        <w:tab w:val="clear" w:pos="9144"/>
        <w:tab w:val="right" w:pos="10080"/>
      </w:tabs>
      <w:spacing w:after="360"/>
      <w:rPr>
        <w:b/>
        <w:sz w:val="22"/>
      </w:rPr>
    </w:pPr>
    <w:r>
      <w:rPr>
        <w:b/>
        <w:sz w:val="22"/>
      </w:rPr>
      <w:t xml:space="preserve">LAW SOCIETY OF BRITISH COLUMBIA </w:t>
    </w:r>
    <w:r>
      <w:rPr>
        <w:b/>
        <w:sz w:val="22"/>
      </w:rPr>
      <w:tab/>
      <w:t>SHARE PURCHASE</w:t>
    </w:r>
    <w:r>
      <w:rPr>
        <w:b/>
        <w:sz w:val="22"/>
      </w:rPr>
      <w:br/>
      <w:t xml:space="preserve">PRACTICE CHECKLISTS MANUAL </w:t>
    </w:r>
    <w:r>
      <w:rPr>
        <w:b/>
        <w:sz w:val="22"/>
      </w:rPr>
      <w:tab/>
      <w:t>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FF8B" w14:textId="1127F544" w:rsidR="00766CE7" w:rsidRDefault="00766CE7">
    <w:pPr>
      <w:tabs>
        <w:tab w:val="clear" w:pos="6840"/>
        <w:tab w:val="clear" w:pos="7272"/>
        <w:tab w:val="clear" w:pos="7704"/>
        <w:tab w:val="clear" w:pos="8136"/>
        <w:tab w:val="clear" w:pos="9144"/>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1E1"/>
    <w:multiLevelType w:val="hybridMultilevel"/>
    <w:tmpl w:val="8A0C6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06EE7"/>
    <w:multiLevelType w:val="hybridMultilevel"/>
    <w:tmpl w:val="DAA8E9C8"/>
    <w:lvl w:ilvl="0" w:tplc="D77A25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C4CC5"/>
    <w:multiLevelType w:val="hybridMultilevel"/>
    <w:tmpl w:val="A78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246FC"/>
    <w:multiLevelType w:val="hybridMultilevel"/>
    <w:tmpl w:val="E5580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2697F"/>
    <w:multiLevelType w:val="hybridMultilevel"/>
    <w:tmpl w:val="0B147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CB3410"/>
    <w:multiLevelType w:val="hybridMultilevel"/>
    <w:tmpl w:val="5DC0F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D63395"/>
    <w:multiLevelType w:val="multilevel"/>
    <w:tmpl w:val="25BE2DE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8" w15:restartNumberingAfterBreak="0">
    <w:nsid w:val="14C164ED"/>
    <w:multiLevelType w:val="multilevel"/>
    <w:tmpl w:val="4E5EC55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9" w15:restartNumberingAfterBreak="0">
    <w:nsid w:val="18B6314E"/>
    <w:multiLevelType w:val="multilevel"/>
    <w:tmpl w:val="55CE11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0" w15:restartNumberingAfterBreak="0">
    <w:nsid w:val="1A723A11"/>
    <w:multiLevelType w:val="hybridMultilevel"/>
    <w:tmpl w:val="BA527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000003"/>
    <w:multiLevelType w:val="hybridMultilevel"/>
    <w:tmpl w:val="57B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D22CC"/>
    <w:multiLevelType w:val="hybridMultilevel"/>
    <w:tmpl w:val="486CCD92"/>
    <w:lvl w:ilvl="0" w:tplc="D77A25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75027"/>
    <w:multiLevelType w:val="hybridMultilevel"/>
    <w:tmpl w:val="449C6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D84FD0"/>
    <w:multiLevelType w:val="hybridMultilevel"/>
    <w:tmpl w:val="9C0CF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6B3188"/>
    <w:multiLevelType w:val="multilevel"/>
    <w:tmpl w:val="F18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B691D"/>
    <w:multiLevelType w:val="multilevel"/>
    <w:tmpl w:val="5C5A799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7" w15:restartNumberingAfterBreak="0">
    <w:nsid w:val="35826E41"/>
    <w:multiLevelType w:val="hybridMultilevel"/>
    <w:tmpl w:val="55DEB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0B7111"/>
    <w:multiLevelType w:val="hybridMultilevel"/>
    <w:tmpl w:val="FD60D302"/>
    <w:lvl w:ilvl="0" w:tplc="577A36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A2190"/>
    <w:multiLevelType w:val="hybridMultilevel"/>
    <w:tmpl w:val="1AD48E0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575112"/>
    <w:multiLevelType w:val="hybridMultilevel"/>
    <w:tmpl w:val="9B0828BE"/>
    <w:lvl w:ilvl="0" w:tplc="35986D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7336CD"/>
    <w:multiLevelType w:val="hybridMultilevel"/>
    <w:tmpl w:val="0EA40F1E"/>
    <w:lvl w:ilvl="0" w:tplc="577A36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C0F8B"/>
    <w:multiLevelType w:val="hybridMultilevel"/>
    <w:tmpl w:val="38661D60"/>
    <w:lvl w:ilvl="0" w:tplc="30163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3B6A71"/>
    <w:multiLevelType w:val="hybridMultilevel"/>
    <w:tmpl w:val="70B8A256"/>
    <w:lvl w:ilvl="0" w:tplc="44D647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C3914"/>
    <w:multiLevelType w:val="hybridMultilevel"/>
    <w:tmpl w:val="6DF82FA4"/>
    <w:lvl w:ilvl="0" w:tplc="D77A25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605AD"/>
    <w:multiLevelType w:val="hybridMultilevel"/>
    <w:tmpl w:val="CEF2BDBA"/>
    <w:lvl w:ilvl="0" w:tplc="A5BE0B52">
      <w:start w:val="2"/>
      <w:numFmt w:val="low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26" w15:restartNumberingAfterBreak="0">
    <w:nsid w:val="597F2036"/>
    <w:multiLevelType w:val="hybridMultilevel"/>
    <w:tmpl w:val="8450941E"/>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153360"/>
    <w:multiLevelType w:val="hybridMultilevel"/>
    <w:tmpl w:val="F8B6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56CE9"/>
    <w:multiLevelType w:val="hybridMultilevel"/>
    <w:tmpl w:val="FA02D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1D7DC9"/>
    <w:multiLevelType w:val="hybridMultilevel"/>
    <w:tmpl w:val="B5E6B4C0"/>
    <w:lvl w:ilvl="0" w:tplc="22C8D1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157F54"/>
    <w:multiLevelType w:val="hybridMultilevel"/>
    <w:tmpl w:val="3544D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49286A"/>
    <w:multiLevelType w:val="hybridMultilevel"/>
    <w:tmpl w:val="DA14B48E"/>
    <w:lvl w:ilvl="0" w:tplc="577A36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05EA7"/>
    <w:multiLevelType w:val="hybridMultilevel"/>
    <w:tmpl w:val="701ECA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0A2582"/>
    <w:multiLevelType w:val="hybridMultilevel"/>
    <w:tmpl w:val="B9C41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3543F9"/>
    <w:multiLevelType w:val="hybridMultilevel"/>
    <w:tmpl w:val="567C6F7E"/>
    <w:lvl w:ilvl="0" w:tplc="5FE43B38">
      <w:start w:val="1"/>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35" w15:restartNumberingAfterBreak="0">
    <w:nsid w:val="79114F4E"/>
    <w:multiLevelType w:val="hybridMultilevel"/>
    <w:tmpl w:val="39D85CB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ADD436B"/>
    <w:multiLevelType w:val="hybridMultilevel"/>
    <w:tmpl w:val="43C67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9340D7"/>
    <w:multiLevelType w:val="hybridMultilevel"/>
    <w:tmpl w:val="DC14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9"/>
  </w:num>
  <w:num w:numId="4">
    <w:abstractNumId w:val="8"/>
  </w:num>
  <w:num w:numId="5">
    <w:abstractNumId w:val="34"/>
  </w:num>
  <w:num w:numId="6">
    <w:abstractNumId w:val="32"/>
  </w:num>
  <w:num w:numId="7">
    <w:abstractNumId w:val="30"/>
  </w:num>
  <w:num w:numId="8">
    <w:abstractNumId w:val="2"/>
  </w:num>
  <w:num w:numId="9">
    <w:abstractNumId w:val="0"/>
  </w:num>
  <w:num w:numId="10">
    <w:abstractNumId w:val="19"/>
  </w:num>
  <w:num w:numId="11">
    <w:abstractNumId w:val="16"/>
  </w:num>
  <w:num w:numId="12">
    <w:abstractNumId w:val="37"/>
  </w:num>
  <w:num w:numId="13">
    <w:abstractNumId w:val="12"/>
  </w:num>
  <w:num w:numId="14">
    <w:abstractNumId w:val="1"/>
  </w:num>
  <w:num w:numId="15">
    <w:abstractNumId w:val="29"/>
  </w:num>
  <w:num w:numId="16">
    <w:abstractNumId w:val="3"/>
  </w:num>
  <w:num w:numId="17">
    <w:abstractNumId w:val="26"/>
  </w:num>
  <w:num w:numId="18">
    <w:abstractNumId w:val="24"/>
  </w:num>
  <w:num w:numId="19">
    <w:abstractNumId w:val="5"/>
  </w:num>
  <w:num w:numId="20">
    <w:abstractNumId w:val="33"/>
  </w:num>
  <w:num w:numId="21">
    <w:abstractNumId w:val="27"/>
  </w:num>
  <w:num w:numId="22">
    <w:abstractNumId w:val="31"/>
  </w:num>
  <w:num w:numId="23">
    <w:abstractNumId w:val="17"/>
  </w:num>
  <w:num w:numId="24">
    <w:abstractNumId w:val="21"/>
  </w:num>
  <w:num w:numId="25">
    <w:abstractNumId w:val="18"/>
  </w:num>
  <w:num w:numId="26">
    <w:abstractNumId w:val="15"/>
  </w:num>
  <w:num w:numId="27">
    <w:abstractNumId w:val="22"/>
  </w:num>
  <w:num w:numId="28">
    <w:abstractNumId w:val="14"/>
  </w:num>
  <w:num w:numId="29">
    <w:abstractNumId w:val="13"/>
  </w:num>
  <w:num w:numId="30">
    <w:abstractNumId w:val="6"/>
  </w:num>
  <w:num w:numId="31">
    <w:abstractNumId w:val="20"/>
  </w:num>
  <w:num w:numId="32">
    <w:abstractNumId w:val="11"/>
  </w:num>
  <w:num w:numId="33">
    <w:abstractNumId w:val="4"/>
  </w:num>
  <w:num w:numId="34">
    <w:abstractNumId w:val="10"/>
  </w:num>
  <w:num w:numId="35">
    <w:abstractNumId w:val="35"/>
  </w:num>
  <w:num w:numId="36">
    <w:abstractNumId w:val="28"/>
  </w:num>
  <w:num w:numId="37">
    <w:abstractNumId w:val="2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ocumentProtection w:edit="trackedChanges" w:enforcement="0"/>
  <w:defaultTabStop w:val="720"/>
  <w:autoHyphenation/>
  <w:consecutiveHyphenLimit w:val="1"/>
  <w:hyphenationZone w:val="216"/>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11"/>
    <w:rsid w:val="00002AEB"/>
    <w:rsid w:val="000071DA"/>
    <w:rsid w:val="000117C9"/>
    <w:rsid w:val="00015972"/>
    <w:rsid w:val="00017992"/>
    <w:rsid w:val="0002201C"/>
    <w:rsid w:val="00022A9E"/>
    <w:rsid w:val="000246AF"/>
    <w:rsid w:val="00030A3F"/>
    <w:rsid w:val="000327FE"/>
    <w:rsid w:val="00032805"/>
    <w:rsid w:val="00037EBC"/>
    <w:rsid w:val="000453F7"/>
    <w:rsid w:val="00047682"/>
    <w:rsid w:val="00050EC0"/>
    <w:rsid w:val="000514E4"/>
    <w:rsid w:val="00053075"/>
    <w:rsid w:val="000544D4"/>
    <w:rsid w:val="00060BEE"/>
    <w:rsid w:val="00063372"/>
    <w:rsid w:val="00064F2B"/>
    <w:rsid w:val="000672C0"/>
    <w:rsid w:val="00067B6F"/>
    <w:rsid w:val="00070003"/>
    <w:rsid w:val="000727FE"/>
    <w:rsid w:val="0007518F"/>
    <w:rsid w:val="00082AAC"/>
    <w:rsid w:val="0009220F"/>
    <w:rsid w:val="000939F3"/>
    <w:rsid w:val="00094EE2"/>
    <w:rsid w:val="00095A61"/>
    <w:rsid w:val="000971E7"/>
    <w:rsid w:val="000A3C97"/>
    <w:rsid w:val="000A68BE"/>
    <w:rsid w:val="000A76C7"/>
    <w:rsid w:val="000B331E"/>
    <w:rsid w:val="000B647D"/>
    <w:rsid w:val="000C322B"/>
    <w:rsid w:val="000D0A65"/>
    <w:rsid w:val="000D23BE"/>
    <w:rsid w:val="000D4B69"/>
    <w:rsid w:val="000D4D86"/>
    <w:rsid w:val="000D53C8"/>
    <w:rsid w:val="000D56F3"/>
    <w:rsid w:val="000D6AE6"/>
    <w:rsid w:val="000D7D38"/>
    <w:rsid w:val="000F6F99"/>
    <w:rsid w:val="00101CCF"/>
    <w:rsid w:val="00101F0E"/>
    <w:rsid w:val="00103063"/>
    <w:rsid w:val="00107C54"/>
    <w:rsid w:val="00113B31"/>
    <w:rsid w:val="0011692E"/>
    <w:rsid w:val="00117AE4"/>
    <w:rsid w:val="00122C06"/>
    <w:rsid w:val="001237DE"/>
    <w:rsid w:val="00123877"/>
    <w:rsid w:val="00126B6C"/>
    <w:rsid w:val="00130C47"/>
    <w:rsid w:val="001347FA"/>
    <w:rsid w:val="00140B7C"/>
    <w:rsid w:val="00140CA5"/>
    <w:rsid w:val="001445FF"/>
    <w:rsid w:val="001511E0"/>
    <w:rsid w:val="00151293"/>
    <w:rsid w:val="00151DB6"/>
    <w:rsid w:val="0015446D"/>
    <w:rsid w:val="00160FE3"/>
    <w:rsid w:val="00162810"/>
    <w:rsid w:val="0016350E"/>
    <w:rsid w:val="0016375D"/>
    <w:rsid w:val="00165BCC"/>
    <w:rsid w:val="00166432"/>
    <w:rsid w:val="00167156"/>
    <w:rsid w:val="001679AB"/>
    <w:rsid w:val="00172865"/>
    <w:rsid w:val="001A0172"/>
    <w:rsid w:val="001A07DA"/>
    <w:rsid w:val="001A0ECE"/>
    <w:rsid w:val="001A0FD9"/>
    <w:rsid w:val="001A4A98"/>
    <w:rsid w:val="001A4FE1"/>
    <w:rsid w:val="001A50C6"/>
    <w:rsid w:val="001A59F4"/>
    <w:rsid w:val="001A64C9"/>
    <w:rsid w:val="001B2802"/>
    <w:rsid w:val="001B6507"/>
    <w:rsid w:val="001C0D82"/>
    <w:rsid w:val="001C5873"/>
    <w:rsid w:val="001C5A57"/>
    <w:rsid w:val="001C5C77"/>
    <w:rsid w:val="001D4E53"/>
    <w:rsid w:val="001D7760"/>
    <w:rsid w:val="001E39A0"/>
    <w:rsid w:val="001E6532"/>
    <w:rsid w:val="001F60C3"/>
    <w:rsid w:val="002042A7"/>
    <w:rsid w:val="002122CE"/>
    <w:rsid w:val="00216196"/>
    <w:rsid w:val="002175B5"/>
    <w:rsid w:val="0022077D"/>
    <w:rsid w:val="00220C13"/>
    <w:rsid w:val="0022287B"/>
    <w:rsid w:val="0022417D"/>
    <w:rsid w:val="002269DE"/>
    <w:rsid w:val="00231A75"/>
    <w:rsid w:val="00234339"/>
    <w:rsid w:val="00234B6B"/>
    <w:rsid w:val="00234BE8"/>
    <w:rsid w:val="00237E55"/>
    <w:rsid w:val="00237EEB"/>
    <w:rsid w:val="00242A41"/>
    <w:rsid w:val="00251781"/>
    <w:rsid w:val="00253C0B"/>
    <w:rsid w:val="00253ED8"/>
    <w:rsid w:val="00254B5C"/>
    <w:rsid w:val="002602C9"/>
    <w:rsid w:val="002624F5"/>
    <w:rsid w:val="00264BEA"/>
    <w:rsid w:val="0026517C"/>
    <w:rsid w:val="00267EB4"/>
    <w:rsid w:val="00270D95"/>
    <w:rsid w:val="00276405"/>
    <w:rsid w:val="002764AF"/>
    <w:rsid w:val="002857C9"/>
    <w:rsid w:val="002869BA"/>
    <w:rsid w:val="002913B9"/>
    <w:rsid w:val="0029190C"/>
    <w:rsid w:val="002A2A2C"/>
    <w:rsid w:val="002A5313"/>
    <w:rsid w:val="002A53E2"/>
    <w:rsid w:val="002B0C8D"/>
    <w:rsid w:val="002B339E"/>
    <w:rsid w:val="002B4241"/>
    <w:rsid w:val="002B6E52"/>
    <w:rsid w:val="002C05B4"/>
    <w:rsid w:val="002C0FD6"/>
    <w:rsid w:val="002C2352"/>
    <w:rsid w:val="002C7A8A"/>
    <w:rsid w:val="002C7C19"/>
    <w:rsid w:val="002D02A7"/>
    <w:rsid w:val="002D04B2"/>
    <w:rsid w:val="002D2704"/>
    <w:rsid w:val="002D3A2C"/>
    <w:rsid w:val="002D4E41"/>
    <w:rsid w:val="002D5406"/>
    <w:rsid w:val="002D72CE"/>
    <w:rsid w:val="002E357B"/>
    <w:rsid w:val="002E3BA9"/>
    <w:rsid w:val="002E57F7"/>
    <w:rsid w:val="002F4027"/>
    <w:rsid w:val="002F5736"/>
    <w:rsid w:val="002F6975"/>
    <w:rsid w:val="003007D2"/>
    <w:rsid w:val="003022D4"/>
    <w:rsid w:val="00303F0E"/>
    <w:rsid w:val="003055B2"/>
    <w:rsid w:val="00311172"/>
    <w:rsid w:val="00313BC8"/>
    <w:rsid w:val="00316F37"/>
    <w:rsid w:val="00317066"/>
    <w:rsid w:val="00317C2B"/>
    <w:rsid w:val="00320649"/>
    <w:rsid w:val="00321C08"/>
    <w:rsid w:val="003257DE"/>
    <w:rsid w:val="00325AB0"/>
    <w:rsid w:val="003328C9"/>
    <w:rsid w:val="00351654"/>
    <w:rsid w:val="003519FE"/>
    <w:rsid w:val="00352F9D"/>
    <w:rsid w:val="003566FF"/>
    <w:rsid w:val="00360181"/>
    <w:rsid w:val="00360707"/>
    <w:rsid w:val="00360B8F"/>
    <w:rsid w:val="003613D2"/>
    <w:rsid w:val="00363BAB"/>
    <w:rsid w:val="0036591D"/>
    <w:rsid w:val="00365DDB"/>
    <w:rsid w:val="003709D2"/>
    <w:rsid w:val="0037635E"/>
    <w:rsid w:val="00377190"/>
    <w:rsid w:val="00380C50"/>
    <w:rsid w:val="00382F2D"/>
    <w:rsid w:val="00383BCB"/>
    <w:rsid w:val="003878BC"/>
    <w:rsid w:val="00390484"/>
    <w:rsid w:val="00391E28"/>
    <w:rsid w:val="003925DB"/>
    <w:rsid w:val="003959E8"/>
    <w:rsid w:val="00396B08"/>
    <w:rsid w:val="003A0E31"/>
    <w:rsid w:val="003A10F3"/>
    <w:rsid w:val="003A1CEC"/>
    <w:rsid w:val="003A24C4"/>
    <w:rsid w:val="003A2C8B"/>
    <w:rsid w:val="003A7F7E"/>
    <w:rsid w:val="003B2BA9"/>
    <w:rsid w:val="003B3286"/>
    <w:rsid w:val="003B48C7"/>
    <w:rsid w:val="003C15C4"/>
    <w:rsid w:val="003C3AC2"/>
    <w:rsid w:val="003C6B0D"/>
    <w:rsid w:val="003C6EF3"/>
    <w:rsid w:val="003C7B79"/>
    <w:rsid w:val="003D1E4D"/>
    <w:rsid w:val="003D30C1"/>
    <w:rsid w:val="003D528B"/>
    <w:rsid w:val="003D7E26"/>
    <w:rsid w:val="003E50A7"/>
    <w:rsid w:val="003E6974"/>
    <w:rsid w:val="003E71D1"/>
    <w:rsid w:val="003F1911"/>
    <w:rsid w:val="003F1A71"/>
    <w:rsid w:val="003F1B67"/>
    <w:rsid w:val="003F5576"/>
    <w:rsid w:val="003F58F5"/>
    <w:rsid w:val="004004A5"/>
    <w:rsid w:val="004028E0"/>
    <w:rsid w:val="00404EC5"/>
    <w:rsid w:val="004059ED"/>
    <w:rsid w:val="00405D82"/>
    <w:rsid w:val="00406802"/>
    <w:rsid w:val="004074E4"/>
    <w:rsid w:val="004074EF"/>
    <w:rsid w:val="0041473A"/>
    <w:rsid w:val="0043271B"/>
    <w:rsid w:val="00435F96"/>
    <w:rsid w:val="004373E9"/>
    <w:rsid w:val="00437626"/>
    <w:rsid w:val="0044085B"/>
    <w:rsid w:val="00442046"/>
    <w:rsid w:val="004422AE"/>
    <w:rsid w:val="00445008"/>
    <w:rsid w:val="004450E2"/>
    <w:rsid w:val="00447FCE"/>
    <w:rsid w:val="0045108E"/>
    <w:rsid w:val="00462FA7"/>
    <w:rsid w:val="00465A2C"/>
    <w:rsid w:val="0046711C"/>
    <w:rsid w:val="004674FD"/>
    <w:rsid w:val="0047781F"/>
    <w:rsid w:val="00480D46"/>
    <w:rsid w:val="00481C22"/>
    <w:rsid w:val="004833E7"/>
    <w:rsid w:val="0048463D"/>
    <w:rsid w:val="00485DFC"/>
    <w:rsid w:val="00486616"/>
    <w:rsid w:val="00490960"/>
    <w:rsid w:val="00490FAC"/>
    <w:rsid w:val="00495C9A"/>
    <w:rsid w:val="004965DF"/>
    <w:rsid w:val="00497273"/>
    <w:rsid w:val="004A1CD3"/>
    <w:rsid w:val="004B27F4"/>
    <w:rsid w:val="004B487E"/>
    <w:rsid w:val="004B712A"/>
    <w:rsid w:val="004C2666"/>
    <w:rsid w:val="004C38ED"/>
    <w:rsid w:val="004C3A5B"/>
    <w:rsid w:val="004C747F"/>
    <w:rsid w:val="004D071E"/>
    <w:rsid w:val="004D67F4"/>
    <w:rsid w:val="004E086D"/>
    <w:rsid w:val="004E63E9"/>
    <w:rsid w:val="004F24FC"/>
    <w:rsid w:val="0051374C"/>
    <w:rsid w:val="0051388B"/>
    <w:rsid w:val="005158C0"/>
    <w:rsid w:val="005168F7"/>
    <w:rsid w:val="0051729E"/>
    <w:rsid w:val="005174C5"/>
    <w:rsid w:val="00517A2B"/>
    <w:rsid w:val="00520FBE"/>
    <w:rsid w:val="00530105"/>
    <w:rsid w:val="0053114E"/>
    <w:rsid w:val="00531665"/>
    <w:rsid w:val="00535BA9"/>
    <w:rsid w:val="00537DE6"/>
    <w:rsid w:val="0054023C"/>
    <w:rsid w:val="005450EB"/>
    <w:rsid w:val="00547AA9"/>
    <w:rsid w:val="00553CB5"/>
    <w:rsid w:val="00561070"/>
    <w:rsid w:val="00570474"/>
    <w:rsid w:val="00571A83"/>
    <w:rsid w:val="00571DA6"/>
    <w:rsid w:val="00572044"/>
    <w:rsid w:val="005727ED"/>
    <w:rsid w:val="00577897"/>
    <w:rsid w:val="0058015C"/>
    <w:rsid w:val="0058250D"/>
    <w:rsid w:val="0058450B"/>
    <w:rsid w:val="00584F4E"/>
    <w:rsid w:val="005869AF"/>
    <w:rsid w:val="00586E66"/>
    <w:rsid w:val="00586EB4"/>
    <w:rsid w:val="00597BD2"/>
    <w:rsid w:val="005A14AF"/>
    <w:rsid w:val="005B0A54"/>
    <w:rsid w:val="005B3F14"/>
    <w:rsid w:val="005B468F"/>
    <w:rsid w:val="005B4780"/>
    <w:rsid w:val="005B55AA"/>
    <w:rsid w:val="005C7925"/>
    <w:rsid w:val="005D0F90"/>
    <w:rsid w:val="005D2C62"/>
    <w:rsid w:val="005D3017"/>
    <w:rsid w:val="005D3059"/>
    <w:rsid w:val="005D4E5F"/>
    <w:rsid w:val="005D548E"/>
    <w:rsid w:val="005D6257"/>
    <w:rsid w:val="005D6884"/>
    <w:rsid w:val="005D766A"/>
    <w:rsid w:val="005E0503"/>
    <w:rsid w:val="005E21BA"/>
    <w:rsid w:val="005E3187"/>
    <w:rsid w:val="005E616F"/>
    <w:rsid w:val="005E6C8C"/>
    <w:rsid w:val="005F0520"/>
    <w:rsid w:val="005F1724"/>
    <w:rsid w:val="005F1DF9"/>
    <w:rsid w:val="005F398F"/>
    <w:rsid w:val="005F46E9"/>
    <w:rsid w:val="005F7B3A"/>
    <w:rsid w:val="006005CC"/>
    <w:rsid w:val="006023DF"/>
    <w:rsid w:val="0060278E"/>
    <w:rsid w:val="00610BFF"/>
    <w:rsid w:val="00611B50"/>
    <w:rsid w:val="00612E14"/>
    <w:rsid w:val="006132FD"/>
    <w:rsid w:val="0061360C"/>
    <w:rsid w:val="00613C62"/>
    <w:rsid w:val="00614865"/>
    <w:rsid w:val="006179C8"/>
    <w:rsid w:val="00621ACC"/>
    <w:rsid w:val="00622A02"/>
    <w:rsid w:val="00625885"/>
    <w:rsid w:val="00632878"/>
    <w:rsid w:val="0063622C"/>
    <w:rsid w:val="006452C9"/>
    <w:rsid w:val="006508DC"/>
    <w:rsid w:val="0065268F"/>
    <w:rsid w:val="00654EDE"/>
    <w:rsid w:val="006563AC"/>
    <w:rsid w:val="0065659A"/>
    <w:rsid w:val="006573B1"/>
    <w:rsid w:val="006611AF"/>
    <w:rsid w:val="0066217F"/>
    <w:rsid w:val="00664248"/>
    <w:rsid w:val="00666016"/>
    <w:rsid w:val="006668A3"/>
    <w:rsid w:val="006740BB"/>
    <w:rsid w:val="006748F2"/>
    <w:rsid w:val="00675058"/>
    <w:rsid w:val="006751B8"/>
    <w:rsid w:val="00676294"/>
    <w:rsid w:val="0067773D"/>
    <w:rsid w:val="006872C0"/>
    <w:rsid w:val="006874DC"/>
    <w:rsid w:val="006875C7"/>
    <w:rsid w:val="00693D00"/>
    <w:rsid w:val="00696AE8"/>
    <w:rsid w:val="00696BE7"/>
    <w:rsid w:val="006A0A12"/>
    <w:rsid w:val="006A2E52"/>
    <w:rsid w:val="006A44C9"/>
    <w:rsid w:val="006A4CBF"/>
    <w:rsid w:val="006A4FA0"/>
    <w:rsid w:val="006A79D5"/>
    <w:rsid w:val="006C3A5C"/>
    <w:rsid w:val="006C4222"/>
    <w:rsid w:val="006C6FA1"/>
    <w:rsid w:val="006D05CB"/>
    <w:rsid w:val="006D3041"/>
    <w:rsid w:val="006D43D3"/>
    <w:rsid w:val="006D6CE3"/>
    <w:rsid w:val="006E05F8"/>
    <w:rsid w:val="006E0F6F"/>
    <w:rsid w:val="006E1DC6"/>
    <w:rsid w:val="006E33A2"/>
    <w:rsid w:val="006E77E9"/>
    <w:rsid w:val="006F1B66"/>
    <w:rsid w:val="006F3FED"/>
    <w:rsid w:val="006F4CEC"/>
    <w:rsid w:val="006F5DF3"/>
    <w:rsid w:val="006F6EB1"/>
    <w:rsid w:val="00700C80"/>
    <w:rsid w:val="00703639"/>
    <w:rsid w:val="00704AE5"/>
    <w:rsid w:val="007077D9"/>
    <w:rsid w:val="00710357"/>
    <w:rsid w:val="00714C24"/>
    <w:rsid w:val="007151D0"/>
    <w:rsid w:val="00715756"/>
    <w:rsid w:val="0071601B"/>
    <w:rsid w:val="007204A9"/>
    <w:rsid w:val="00722C95"/>
    <w:rsid w:val="00724AB6"/>
    <w:rsid w:val="007256EE"/>
    <w:rsid w:val="00725E1B"/>
    <w:rsid w:val="00727152"/>
    <w:rsid w:val="00736640"/>
    <w:rsid w:val="00736D34"/>
    <w:rsid w:val="00743F3B"/>
    <w:rsid w:val="00744768"/>
    <w:rsid w:val="0074515D"/>
    <w:rsid w:val="00745171"/>
    <w:rsid w:val="0075047C"/>
    <w:rsid w:val="00760107"/>
    <w:rsid w:val="00762595"/>
    <w:rsid w:val="00762EF9"/>
    <w:rsid w:val="00763E84"/>
    <w:rsid w:val="00764608"/>
    <w:rsid w:val="00766CE7"/>
    <w:rsid w:val="00772E78"/>
    <w:rsid w:val="00773E07"/>
    <w:rsid w:val="00774D52"/>
    <w:rsid w:val="00775709"/>
    <w:rsid w:val="00775E03"/>
    <w:rsid w:val="00776520"/>
    <w:rsid w:val="007769C1"/>
    <w:rsid w:val="00777582"/>
    <w:rsid w:val="007809FF"/>
    <w:rsid w:val="007816EE"/>
    <w:rsid w:val="00786450"/>
    <w:rsid w:val="00790D83"/>
    <w:rsid w:val="007937FA"/>
    <w:rsid w:val="00793D7D"/>
    <w:rsid w:val="007960BB"/>
    <w:rsid w:val="007A23B6"/>
    <w:rsid w:val="007A2FBD"/>
    <w:rsid w:val="007A30FF"/>
    <w:rsid w:val="007A3FEC"/>
    <w:rsid w:val="007B098B"/>
    <w:rsid w:val="007B0F02"/>
    <w:rsid w:val="007B15B4"/>
    <w:rsid w:val="007B1696"/>
    <w:rsid w:val="007B1EB0"/>
    <w:rsid w:val="007B39CE"/>
    <w:rsid w:val="007B4CFA"/>
    <w:rsid w:val="007B57CB"/>
    <w:rsid w:val="007B65C4"/>
    <w:rsid w:val="007B77B0"/>
    <w:rsid w:val="007C2776"/>
    <w:rsid w:val="007C2B3D"/>
    <w:rsid w:val="007C3C2C"/>
    <w:rsid w:val="007C564B"/>
    <w:rsid w:val="007D38BC"/>
    <w:rsid w:val="007E3877"/>
    <w:rsid w:val="007E46BC"/>
    <w:rsid w:val="007F1ADD"/>
    <w:rsid w:val="00801E71"/>
    <w:rsid w:val="00804B6F"/>
    <w:rsid w:val="00806C60"/>
    <w:rsid w:val="008129FC"/>
    <w:rsid w:val="008136FB"/>
    <w:rsid w:val="008145C6"/>
    <w:rsid w:val="0081790E"/>
    <w:rsid w:val="00822DAD"/>
    <w:rsid w:val="00825989"/>
    <w:rsid w:val="0082752A"/>
    <w:rsid w:val="00830D6A"/>
    <w:rsid w:val="00831BC2"/>
    <w:rsid w:val="00831C45"/>
    <w:rsid w:val="00833293"/>
    <w:rsid w:val="00833A88"/>
    <w:rsid w:val="00837850"/>
    <w:rsid w:val="00837EA3"/>
    <w:rsid w:val="0085051C"/>
    <w:rsid w:val="00861FAE"/>
    <w:rsid w:val="00870446"/>
    <w:rsid w:val="008720DC"/>
    <w:rsid w:val="008735F6"/>
    <w:rsid w:val="008747F1"/>
    <w:rsid w:val="00876388"/>
    <w:rsid w:val="0087674E"/>
    <w:rsid w:val="00876E9C"/>
    <w:rsid w:val="00877169"/>
    <w:rsid w:val="008807CE"/>
    <w:rsid w:val="00881DA8"/>
    <w:rsid w:val="008870D8"/>
    <w:rsid w:val="00890C3C"/>
    <w:rsid w:val="00891925"/>
    <w:rsid w:val="00896C4C"/>
    <w:rsid w:val="00896E46"/>
    <w:rsid w:val="008A53E2"/>
    <w:rsid w:val="008A7529"/>
    <w:rsid w:val="008B0B1B"/>
    <w:rsid w:val="008B118E"/>
    <w:rsid w:val="008B227E"/>
    <w:rsid w:val="008B42BB"/>
    <w:rsid w:val="008B4383"/>
    <w:rsid w:val="008B5265"/>
    <w:rsid w:val="008C4990"/>
    <w:rsid w:val="008C5101"/>
    <w:rsid w:val="008C56EF"/>
    <w:rsid w:val="008C63BB"/>
    <w:rsid w:val="008C795F"/>
    <w:rsid w:val="008D1005"/>
    <w:rsid w:val="008D2A0A"/>
    <w:rsid w:val="008D301A"/>
    <w:rsid w:val="008D6AAA"/>
    <w:rsid w:val="008E002E"/>
    <w:rsid w:val="008E0555"/>
    <w:rsid w:val="008E227E"/>
    <w:rsid w:val="008E5CD4"/>
    <w:rsid w:val="008E64D4"/>
    <w:rsid w:val="008E6D4A"/>
    <w:rsid w:val="008E7D6D"/>
    <w:rsid w:val="008F0197"/>
    <w:rsid w:val="008F3FC4"/>
    <w:rsid w:val="008F492B"/>
    <w:rsid w:val="009062A3"/>
    <w:rsid w:val="009078D0"/>
    <w:rsid w:val="00910AAC"/>
    <w:rsid w:val="0091369E"/>
    <w:rsid w:val="00914806"/>
    <w:rsid w:val="00915BA8"/>
    <w:rsid w:val="00923002"/>
    <w:rsid w:val="009243FD"/>
    <w:rsid w:val="009246F3"/>
    <w:rsid w:val="00925FBB"/>
    <w:rsid w:val="00926369"/>
    <w:rsid w:val="00933372"/>
    <w:rsid w:val="00934834"/>
    <w:rsid w:val="009370E2"/>
    <w:rsid w:val="009370EE"/>
    <w:rsid w:val="0093721B"/>
    <w:rsid w:val="009420BC"/>
    <w:rsid w:val="009438C2"/>
    <w:rsid w:val="0094501B"/>
    <w:rsid w:val="00947F2A"/>
    <w:rsid w:val="00950A24"/>
    <w:rsid w:val="009512DF"/>
    <w:rsid w:val="0095569C"/>
    <w:rsid w:val="009624D6"/>
    <w:rsid w:val="009624EC"/>
    <w:rsid w:val="00964CF3"/>
    <w:rsid w:val="0097475F"/>
    <w:rsid w:val="00975918"/>
    <w:rsid w:val="00984765"/>
    <w:rsid w:val="00984C7A"/>
    <w:rsid w:val="00986840"/>
    <w:rsid w:val="00986A3C"/>
    <w:rsid w:val="0098795B"/>
    <w:rsid w:val="0099080C"/>
    <w:rsid w:val="00991E2E"/>
    <w:rsid w:val="009A2F10"/>
    <w:rsid w:val="009A3B66"/>
    <w:rsid w:val="009A4CC7"/>
    <w:rsid w:val="009A5127"/>
    <w:rsid w:val="009A7B3D"/>
    <w:rsid w:val="009B318A"/>
    <w:rsid w:val="009B324D"/>
    <w:rsid w:val="009B363A"/>
    <w:rsid w:val="009B4044"/>
    <w:rsid w:val="009B6EE2"/>
    <w:rsid w:val="009D5C9D"/>
    <w:rsid w:val="009D7403"/>
    <w:rsid w:val="009E3A5A"/>
    <w:rsid w:val="009E7B9E"/>
    <w:rsid w:val="009F0DB9"/>
    <w:rsid w:val="009F22E6"/>
    <w:rsid w:val="00A03E09"/>
    <w:rsid w:val="00A06715"/>
    <w:rsid w:val="00A067B5"/>
    <w:rsid w:val="00A06D8F"/>
    <w:rsid w:val="00A07AD3"/>
    <w:rsid w:val="00A1015A"/>
    <w:rsid w:val="00A110E9"/>
    <w:rsid w:val="00A11199"/>
    <w:rsid w:val="00A11D08"/>
    <w:rsid w:val="00A219FE"/>
    <w:rsid w:val="00A26B80"/>
    <w:rsid w:val="00A275D4"/>
    <w:rsid w:val="00A30C1A"/>
    <w:rsid w:val="00A3236C"/>
    <w:rsid w:val="00A328D8"/>
    <w:rsid w:val="00A34827"/>
    <w:rsid w:val="00A365EA"/>
    <w:rsid w:val="00A40DD0"/>
    <w:rsid w:val="00A4113A"/>
    <w:rsid w:val="00A41576"/>
    <w:rsid w:val="00A41D0E"/>
    <w:rsid w:val="00A41E0C"/>
    <w:rsid w:val="00A4278A"/>
    <w:rsid w:val="00A434DB"/>
    <w:rsid w:val="00A44333"/>
    <w:rsid w:val="00A45B50"/>
    <w:rsid w:val="00A50009"/>
    <w:rsid w:val="00A508B7"/>
    <w:rsid w:val="00A54D17"/>
    <w:rsid w:val="00A61E59"/>
    <w:rsid w:val="00A6313A"/>
    <w:rsid w:val="00A6411E"/>
    <w:rsid w:val="00A67A52"/>
    <w:rsid w:val="00A67D31"/>
    <w:rsid w:val="00A7011D"/>
    <w:rsid w:val="00A72616"/>
    <w:rsid w:val="00A7544F"/>
    <w:rsid w:val="00A80B1C"/>
    <w:rsid w:val="00A80DE3"/>
    <w:rsid w:val="00A8110F"/>
    <w:rsid w:val="00A839C0"/>
    <w:rsid w:val="00A843C2"/>
    <w:rsid w:val="00A84E26"/>
    <w:rsid w:val="00A9000A"/>
    <w:rsid w:val="00A93720"/>
    <w:rsid w:val="00AA0B90"/>
    <w:rsid w:val="00AB47A5"/>
    <w:rsid w:val="00AB4BB1"/>
    <w:rsid w:val="00AB7DEB"/>
    <w:rsid w:val="00AC3198"/>
    <w:rsid w:val="00AC3C97"/>
    <w:rsid w:val="00AC4A9C"/>
    <w:rsid w:val="00AC6804"/>
    <w:rsid w:val="00AC72D4"/>
    <w:rsid w:val="00AD301B"/>
    <w:rsid w:val="00AD33CA"/>
    <w:rsid w:val="00AD7A27"/>
    <w:rsid w:val="00AD7B8F"/>
    <w:rsid w:val="00AD7E0E"/>
    <w:rsid w:val="00AE272B"/>
    <w:rsid w:val="00AE2CE9"/>
    <w:rsid w:val="00AE3758"/>
    <w:rsid w:val="00AE3F7A"/>
    <w:rsid w:val="00AE734A"/>
    <w:rsid w:val="00AF046F"/>
    <w:rsid w:val="00AF2090"/>
    <w:rsid w:val="00AF4D90"/>
    <w:rsid w:val="00AF6F1B"/>
    <w:rsid w:val="00AF7C5E"/>
    <w:rsid w:val="00B11CCB"/>
    <w:rsid w:val="00B14E55"/>
    <w:rsid w:val="00B1538F"/>
    <w:rsid w:val="00B173BE"/>
    <w:rsid w:val="00B20F4F"/>
    <w:rsid w:val="00B210BF"/>
    <w:rsid w:val="00B2448E"/>
    <w:rsid w:val="00B26414"/>
    <w:rsid w:val="00B3039C"/>
    <w:rsid w:val="00B31450"/>
    <w:rsid w:val="00B31756"/>
    <w:rsid w:val="00B3186D"/>
    <w:rsid w:val="00B3248B"/>
    <w:rsid w:val="00B33EF1"/>
    <w:rsid w:val="00B33F12"/>
    <w:rsid w:val="00B3681E"/>
    <w:rsid w:val="00B37930"/>
    <w:rsid w:val="00B41882"/>
    <w:rsid w:val="00B4402D"/>
    <w:rsid w:val="00B4416E"/>
    <w:rsid w:val="00B456C6"/>
    <w:rsid w:val="00B456CA"/>
    <w:rsid w:val="00B47038"/>
    <w:rsid w:val="00B475DE"/>
    <w:rsid w:val="00B47CD2"/>
    <w:rsid w:val="00B50217"/>
    <w:rsid w:val="00B51F79"/>
    <w:rsid w:val="00B51FF6"/>
    <w:rsid w:val="00B53855"/>
    <w:rsid w:val="00B54FB8"/>
    <w:rsid w:val="00B61C2A"/>
    <w:rsid w:val="00B64CA8"/>
    <w:rsid w:val="00B73DA0"/>
    <w:rsid w:val="00B80330"/>
    <w:rsid w:val="00B82AE0"/>
    <w:rsid w:val="00B86D15"/>
    <w:rsid w:val="00B8770A"/>
    <w:rsid w:val="00B907EB"/>
    <w:rsid w:val="00B92A4C"/>
    <w:rsid w:val="00B93CD8"/>
    <w:rsid w:val="00B96BB7"/>
    <w:rsid w:val="00BA08FF"/>
    <w:rsid w:val="00BA6FB2"/>
    <w:rsid w:val="00BB042C"/>
    <w:rsid w:val="00BB120B"/>
    <w:rsid w:val="00BB145D"/>
    <w:rsid w:val="00BB7140"/>
    <w:rsid w:val="00BC3418"/>
    <w:rsid w:val="00BC35C4"/>
    <w:rsid w:val="00BC3CD2"/>
    <w:rsid w:val="00BD0AEA"/>
    <w:rsid w:val="00BE3DF8"/>
    <w:rsid w:val="00BE4DDD"/>
    <w:rsid w:val="00BF05FA"/>
    <w:rsid w:val="00BF163C"/>
    <w:rsid w:val="00C00A9E"/>
    <w:rsid w:val="00C02638"/>
    <w:rsid w:val="00C02B5B"/>
    <w:rsid w:val="00C0385B"/>
    <w:rsid w:val="00C04383"/>
    <w:rsid w:val="00C046E4"/>
    <w:rsid w:val="00C0703E"/>
    <w:rsid w:val="00C12388"/>
    <w:rsid w:val="00C143EE"/>
    <w:rsid w:val="00C20B20"/>
    <w:rsid w:val="00C32AE5"/>
    <w:rsid w:val="00C34CA4"/>
    <w:rsid w:val="00C368AF"/>
    <w:rsid w:val="00C3749B"/>
    <w:rsid w:val="00C37A44"/>
    <w:rsid w:val="00C42DE5"/>
    <w:rsid w:val="00C457F9"/>
    <w:rsid w:val="00C470FF"/>
    <w:rsid w:val="00C47C89"/>
    <w:rsid w:val="00C50191"/>
    <w:rsid w:val="00C50FD9"/>
    <w:rsid w:val="00C51533"/>
    <w:rsid w:val="00C56D26"/>
    <w:rsid w:val="00C57CBB"/>
    <w:rsid w:val="00C60E24"/>
    <w:rsid w:val="00C61216"/>
    <w:rsid w:val="00C63F08"/>
    <w:rsid w:val="00C7319C"/>
    <w:rsid w:val="00C93074"/>
    <w:rsid w:val="00CA6574"/>
    <w:rsid w:val="00CA6C8C"/>
    <w:rsid w:val="00CB4296"/>
    <w:rsid w:val="00CB5B82"/>
    <w:rsid w:val="00CC086B"/>
    <w:rsid w:val="00CC3B25"/>
    <w:rsid w:val="00CC3BC4"/>
    <w:rsid w:val="00CC6097"/>
    <w:rsid w:val="00CC7CB2"/>
    <w:rsid w:val="00CD0F8E"/>
    <w:rsid w:val="00CD1C35"/>
    <w:rsid w:val="00CD277F"/>
    <w:rsid w:val="00CE41C4"/>
    <w:rsid w:val="00CE682C"/>
    <w:rsid w:val="00CE68AC"/>
    <w:rsid w:val="00CF3219"/>
    <w:rsid w:val="00CF41DB"/>
    <w:rsid w:val="00CF6307"/>
    <w:rsid w:val="00CF79AC"/>
    <w:rsid w:val="00D02706"/>
    <w:rsid w:val="00D0590E"/>
    <w:rsid w:val="00D100E6"/>
    <w:rsid w:val="00D16460"/>
    <w:rsid w:val="00D1658B"/>
    <w:rsid w:val="00D17E2A"/>
    <w:rsid w:val="00D22442"/>
    <w:rsid w:val="00D24DB1"/>
    <w:rsid w:val="00D321DA"/>
    <w:rsid w:val="00D3281B"/>
    <w:rsid w:val="00D331C4"/>
    <w:rsid w:val="00D341AA"/>
    <w:rsid w:val="00D47DA0"/>
    <w:rsid w:val="00D526E0"/>
    <w:rsid w:val="00D529F3"/>
    <w:rsid w:val="00D53AE8"/>
    <w:rsid w:val="00D54944"/>
    <w:rsid w:val="00D570FB"/>
    <w:rsid w:val="00D60FD0"/>
    <w:rsid w:val="00D67A5C"/>
    <w:rsid w:val="00D70225"/>
    <w:rsid w:val="00D70EF0"/>
    <w:rsid w:val="00D73287"/>
    <w:rsid w:val="00D73FA6"/>
    <w:rsid w:val="00D74CE0"/>
    <w:rsid w:val="00D752A6"/>
    <w:rsid w:val="00D803FB"/>
    <w:rsid w:val="00D82469"/>
    <w:rsid w:val="00D84977"/>
    <w:rsid w:val="00D84E94"/>
    <w:rsid w:val="00D87C04"/>
    <w:rsid w:val="00D95BD1"/>
    <w:rsid w:val="00D9753C"/>
    <w:rsid w:val="00D976FF"/>
    <w:rsid w:val="00DA1DE1"/>
    <w:rsid w:val="00DA340C"/>
    <w:rsid w:val="00DA549A"/>
    <w:rsid w:val="00DB4990"/>
    <w:rsid w:val="00DB64DD"/>
    <w:rsid w:val="00DB7349"/>
    <w:rsid w:val="00DC0967"/>
    <w:rsid w:val="00DC2342"/>
    <w:rsid w:val="00DC639D"/>
    <w:rsid w:val="00DC7D67"/>
    <w:rsid w:val="00DD17F0"/>
    <w:rsid w:val="00DD3340"/>
    <w:rsid w:val="00DD345B"/>
    <w:rsid w:val="00DD3A00"/>
    <w:rsid w:val="00DD5281"/>
    <w:rsid w:val="00DD5861"/>
    <w:rsid w:val="00DD6A41"/>
    <w:rsid w:val="00DE1802"/>
    <w:rsid w:val="00DE2595"/>
    <w:rsid w:val="00DE54FC"/>
    <w:rsid w:val="00DF1538"/>
    <w:rsid w:val="00DF2F7C"/>
    <w:rsid w:val="00DF557C"/>
    <w:rsid w:val="00E0380E"/>
    <w:rsid w:val="00E042E6"/>
    <w:rsid w:val="00E07141"/>
    <w:rsid w:val="00E10BF7"/>
    <w:rsid w:val="00E15A97"/>
    <w:rsid w:val="00E162A2"/>
    <w:rsid w:val="00E201FA"/>
    <w:rsid w:val="00E23B59"/>
    <w:rsid w:val="00E27D6F"/>
    <w:rsid w:val="00E30F2F"/>
    <w:rsid w:val="00E353C7"/>
    <w:rsid w:val="00E363BD"/>
    <w:rsid w:val="00E370CA"/>
    <w:rsid w:val="00E406C6"/>
    <w:rsid w:val="00E40F79"/>
    <w:rsid w:val="00E439A1"/>
    <w:rsid w:val="00E511A6"/>
    <w:rsid w:val="00E51515"/>
    <w:rsid w:val="00E55293"/>
    <w:rsid w:val="00E567C1"/>
    <w:rsid w:val="00E5798C"/>
    <w:rsid w:val="00E60C8C"/>
    <w:rsid w:val="00E61323"/>
    <w:rsid w:val="00E637B1"/>
    <w:rsid w:val="00E65623"/>
    <w:rsid w:val="00E673B7"/>
    <w:rsid w:val="00E701B7"/>
    <w:rsid w:val="00E70C98"/>
    <w:rsid w:val="00E70FC8"/>
    <w:rsid w:val="00E73487"/>
    <w:rsid w:val="00E75D01"/>
    <w:rsid w:val="00E776CF"/>
    <w:rsid w:val="00E8372D"/>
    <w:rsid w:val="00E84FDB"/>
    <w:rsid w:val="00E92CEA"/>
    <w:rsid w:val="00E93089"/>
    <w:rsid w:val="00E93B40"/>
    <w:rsid w:val="00E9500F"/>
    <w:rsid w:val="00E96C12"/>
    <w:rsid w:val="00EA0518"/>
    <w:rsid w:val="00EA4337"/>
    <w:rsid w:val="00EA741D"/>
    <w:rsid w:val="00EA794A"/>
    <w:rsid w:val="00EA7D8E"/>
    <w:rsid w:val="00EA7F5A"/>
    <w:rsid w:val="00EB1C44"/>
    <w:rsid w:val="00EC138D"/>
    <w:rsid w:val="00EC25FD"/>
    <w:rsid w:val="00EC3F04"/>
    <w:rsid w:val="00EC517A"/>
    <w:rsid w:val="00ED0B9E"/>
    <w:rsid w:val="00ED0CA5"/>
    <w:rsid w:val="00EE640E"/>
    <w:rsid w:val="00EE6EC1"/>
    <w:rsid w:val="00F005BB"/>
    <w:rsid w:val="00F02B92"/>
    <w:rsid w:val="00F04DF2"/>
    <w:rsid w:val="00F0648C"/>
    <w:rsid w:val="00F06530"/>
    <w:rsid w:val="00F10F2F"/>
    <w:rsid w:val="00F1147F"/>
    <w:rsid w:val="00F128E5"/>
    <w:rsid w:val="00F14983"/>
    <w:rsid w:val="00F17B9D"/>
    <w:rsid w:val="00F201D6"/>
    <w:rsid w:val="00F210BD"/>
    <w:rsid w:val="00F23C1D"/>
    <w:rsid w:val="00F23F7D"/>
    <w:rsid w:val="00F247B0"/>
    <w:rsid w:val="00F24F4E"/>
    <w:rsid w:val="00F35178"/>
    <w:rsid w:val="00F36409"/>
    <w:rsid w:val="00F37A39"/>
    <w:rsid w:val="00F509C1"/>
    <w:rsid w:val="00F51BAD"/>
    <w:rsid w:val="00F54B6E"/>
    <w:rsid w:val="00F579D2"/>
    <w:rsid w:val="00F61019"/>
    <w:rsid w:val="00F62C0E"/>
    <w:rsid w:val="00F6573F"/>
    <w:rsid w:val="00F709C2"/>
    <w:rsid w:val="00F73061"/>
    <w:rsid w:val="00F73192"/>
    <w:rsid w:val="00F73E81"/>
    <w:rsid w:val="00F7618D"/>
    <w:rsid w:val="00F80BC1"/>
    <w:rsid w:val="00F8100F"/>
    <w:rsid w:val="00F850D0"/>
    <w:rsid w:val="00F9176D"/>
    <w:rsid w:val="00F927A9"/>
    <w:rsid w:val="00F939CA"/>
    <w:rsid w:val="00F963DD"/>
    <w:rsid w:val="00F96C04"/>
    <w:rsid w:val="00FA2B91"/>
    <w:rsid w:val="00FA35F6"/>
    <w:rsid w:val="00FA5C9F"/>
    <w:rsid w:val="00FA7E95"/>
    <w:rsid w:val="00FB18AD"/>
    <w:rsid w:val="00FB1CD4"/>
    <w:rsid w:val="00FB4264"/>
    <w:rsid w:val="00FB74F6"/>
    <w:rsid w:val="00FC03E1"/>
    <w:rsid w:val="00FC1935"/>
    <w:rsid w:val="00FC2E50"/>
    <w:rsid w:val="00FC2EEA"/>
    <w:rsid w:val="00FC3903"/>
    <w:rsid w:val="00FC6148"/>
    <w:rsid w:val="00FC6E4B"/>
    <w:rsid w:val="00FC729D"/>
    <w:rsid w:val="00FC7463"/>
    <w:rsid w:val="00FD1440"/>
    <w:rsid w:val="00FD2313"/>
    <w:rsid w:val="00FD5EB6"/>
    <w:rsid w:val="00FD6D53"/>
    <w:rsid w:val="00FE37D3"/>
    <w:rsid w:val="00FF1039"/>
    <w:rsid w:val="00FF256A"/>
    <w:rsid w:val="00FF5F10"/>
    <w:rsid w:val="00FF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B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2">
    <w:name w:val="heading 2"/>
    <w:basedOn w:val="Normal"/>
    <w:next w:val="Normal"/>
    <w:link w:val="Heading2Char"/>
    <w:semiHidden/>
    <w:unhideWhenUsed/>
    <w:qFormat/>
    <w:rsid w:val="005F1724"/>
    <w:pPr>
      <w:keepNext/>
      <w:spacing w:before="240" w:after="60"/>
      <w:outlineLvl w:val="1"/>
    </w:pPr>
    <w:rPr>
      <w:rFonts w:ascii="Cambria" w:hAnsi="Cambria"/>
      <w:b/>
      <w:bCs/>
      <w:i/>
      <w:iCs/>
      <w:sz w:val="28"/>
      <w:szCs w:val="28"/>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uiPriority w:val="99"/>
    <w:rPr>
      <w:color w:val="0000FF"/>
      <w:u w:val="single"/>
    </w:rPr>
  </w:style>
  <w:style w:type="character" w:customStyle="1" w:styleId="NormalparagraphGNChar">
    <w:name w:val="Normal paragraph=GN Char"/>
    <w:link w:val="NormalparagraphGN"/>
    <w:rsid w:val="00022A9E"/>
    <w:rPr>
      <w:lang w:val="en-US" w:eastAsia="en-US" w:bidi="ar-SA"/>
    </w:rPr>
  </w:style>
  <w:style w:type="character" w:customStyle="1" w:styleId="AltI1Italic11pt">
    <w:name w:val="Alt+I+1=Italic 11pt"/>
    <w:rsid w:val="002624F5"/>
    <w:rPr>
      <w:rFonts w:ascii="Garamond" w:hAnsi="Garamond"/>
      <w:i/>
      <w:noProof w:val="0"/>
      <w:sz w:val="22"/>
      <w:lang w:val="en-GB"/>
    </w:rPr>
  </w:style>
  <w:style w:type="character" w:customStyle="1" w:styleId="alti1italic11pt0">
    <w:name w:val="alti1italic11pt"/>
    <w:basedOn w:val="DefaultParagraphFont"/>
    <w:rsid w:val="009062A3"/>
  </w:style>
  <w:style w:type="character" w:styleId="Emphasis">
    <w:name w:val="Emphasis"/>
    <w:qFormat/>
    <w:rsid w:val="009062A3"/>
    <w:rPr>
      <w:i/>
      <w:iCs/>
    </w:rPr>
  </w:style>
  <w:style w:type="paragraph" w:styleId="BodyText">
    <w:name w:val="Body Text"/>
    <w:basedOn w:val="Normal"/>
    <w:link w:val="BodyTextChar"/>
    <w:rsid w:val="00775709"/>
  </w:style>
  <w:style w:type="character" w:customStyle="1" w:styleId="BodyTextChar">
    <w:name w:val="Body Text Char"/>
    <w:link w:val="BodyText"/>
    <w:rsid w:val="00775709"/>
    <w:rPr>
      <w:lang w:val="en-US" w:eastAsia="en-US"/>
    </w:rPr>
  </w:style>
  <w:style w:type="paragraph" w:customStyle="1" w:styleId="TBTableBulletLevel1">
    <w:name w:val="TB=Table Bullet Level 1"/>
    <w:basedOn w:val="Normal"/>
    <w:rsid w:val="00264BEA"/>
    <w:pPr>
      <w:numPr>
        <w:numId w:val="17"/>
      </w:numPr>
    </w:pPr>
  </w:style>
  <w:style w:type="paragraph" w:styleId="BalloonText">
    <w:name w:val="Balloon Text"/>
    <w:basedOn w:val="Normal"/>
    <w:link w:val="BalloonTextChar"/>
    <w:rsid w:val="00264BEA"/>
    <w:pPr>
      <w:spacing w:after="0"/>
    </w:pPr>
    <w:rPr>
      <w:rFonts w:ascii="Tahoma" w:hAnsi="Tahoma"/>
      <w:sz w:val="16"/>
      <w:szCs w:val="16"/>
      <w:lang w:val="x-none" w:eastAsia="x-none"/>
    </w:rPr>
  </w:style>
  <w:style w:type="character" w:customStyle="1" w:styleId="BalloonTextChar">
    <w:name w:val="Balloon Text Char"/>
    <w:link w:val="BalloonText"/>
    <w:rsid w:val="00264BEA"/>
    <w:rPr>
      <w:rFonts w:ascii="Tahoma" w:hAnsi="Tahoma" w:cs="Tahoma"/>
      <w:sz w:val="16"/>
      <w:szCs w:val="16"/>
    </w:rPr>
  </w:style>
  <w:style w:type="character" w:styleId="CommentReference">
    <w:name w:val="annotation reference"/>
    <w:rsid w:val="00264BEA"/>
    <w:rPr>
      <w:sz w:val="16"/>
      <w:szCs w:val="16"/>
    </w:rPr>
  </w:style>
  <w:style w:type="paragraph" w:styleId="CommentText">
    <w:name w:val="annotation text"/>
    <w:basedOn w:val="Normal"/>
    <w:link w:val="CommentTextChar"/>
    <w:rsid w:val="00264BEA"/>
  </w:style>
  <w:style w:type="character" w:customStyle="1" w:styleId="CommentTextChar">
    <w:name w:val="Comment Text Char"/>
    <w:basedOn w:val="DefaultParagraphFont"/>
    <w:link w:val="CommentText"/>
    <w:rsid w:val="00264BEA"/>
  </w:style>
  <w:style w:type="paragraph" w:styleId="CommentSubject">
    <w:name w:val="annotation subject"/>
    <w:basedOn w:val="CommentText"/>
    <w:next w:val="CommentText"/>
    <w:link w:val="CommentSubjectChar"/>
    <w:rsid w:val="00264BEA"/>
    <w:rPr>
      <w:b/>
      <w:bCs/>
      <w:lang w:val="x-none" w:eastAsia="x-none"/>
    </w:rPr>
  </w:style>
  <w:style w:type="character" w:customStyle="1" w:styleId="CommentSubjectChar">
    <w:name w:val="Comment Subject Char"/>
    <w:link w:val="CommentSubject"/>
    <w:rsid w:val="00264BEA"/>
    <w:rPr>
      <w:b/>
      <w:bCs/>
    </w:rPr>
  </w:style>
  <w:style w:type="paragraph" w:styleId="ListParagraph">
    <w:name w:val="List Paragraph"/>
    <w:basedOn w:val="Normal"/>
    <w:uiPriority w:val="34"/>
    <w:qFormat/>
    <w:rsid w:val="009B324D"/>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Revision">
    <w:name w:val="Revision"/>
    <w:hidden/>
    <w:uiPriority w:val="99"/>
    <w:semiHidden/>
    <w:rsid w:val="00C37A44"/>
  </w:style>
  <w:style w:type="character" w:customStyle="1" w:styleId="Heading2Char">
    <w:name w:val="Heading 2 Char"/>
    <w:link w:val="Heading2"/>
    <w:semiHidden/>
    <w:rsid w:val="005F1724"/>
    <w:rPr>
      <w:rFonts w:ascii="Cambria" w:eastAsia="Times New Roman" w:hAnsi="Cambria" w:cs="Times New Roman"/>
      <w:b/>
      <w:bCs/>
      <w:i/>
      <w:iCs/>
      <w:sz w:val="28"/>
      <w:szCs w:val="28"/>
      <w:lang w:val="en-US" w:eastAsia="en-US"/>
    </w:rPr>
  </w:style>
  <w:style w:type="character" w:styleId="Strong">
    <w:name w:val="Strong"/>
    <w:uiPriority w:val="22"/>
    <w:qFormat/>
    <w:rsid w:val="00A434DB"/>
    <w:rPr>
      <w:b/>
      <w:bCs/>
    </w:rPr>
  </w:style>
  <w:style w:type="character" w:styleId="FollowedHyperlink">
    <w:name w:val="FollowedHyperlink"/>
    <w:rsid w:val="007960BB"/>
    <w:rPr>
      <w:color w:val="800080"/>
      <w:u w:val="single"/>
    </w:rPr>
  </w:style>
  <w:style w:type="character" w:customStyle="1" w:styleId="UnresolvedMention1">
    <w:name w:val="Unresolved Mention1"/>
    <w:basedOn w:val="DefaultParagraphFont"/>
    <w:uiPriority w:val="99"/>
    <w:semiHidden/>
    <w:unhideWhenUsed/>
    <w:rsid w:val="002D72CE"/>
    <w:rPr>
      <w:color w:val="605E5C"/>
      <w:shd w:val="clear" w:color="auto" w:fill="E1DFDD"/>
    </w:rPr>
  </w:style>
  <w:style w:type="character" w:customStyle="1" w:styleId="UnresolvedMention2">
    <w:name w:val="Unresolved Mention2"/>
    <w:basedOn w:val="DefaultParagraphFont"/>
    <w:uiPriority w:val="99"/>
    <w:semiHidden/>
    <w:unhideWhenUsed/>
    <w:rsid w:val="00FC2E50"/>
    <w:rPr>
      <w:color w:val="605E5C"/>
      <w:shd w:val="clear" w:color="auto" w:fill="E1DFDD"/>
    </w:rPr>
  </w:style>
  <w:style w:type="character" w:customStyle="1" w:styleId="UnresolvedMention3">
    <w:name w:val="Unresolved Mention3"/>
    <w:basedOn w:val="DefaultParagraphFont"/>
    <w:uiPriority w:val="99"/>
    <w:semiHidden/>
    <w:unhideWhenUsed/>
    <w:rsid w:val="002D5406"/>
    <w:rPr>
      <w:color w:val="605E5C"/>
      <w:shd w:val="clear" w:color="auto" w:fill="E1DFDD"/>
    </w:rPr>
  </w:style>
  <w:style w:type="character" w:styleId="UnresolvedMention">
    <w:name w:val="Unresolved Mention"/>
    <w:basedOn w:val="DefaultParagraphFont"/>
    <w:uiPriority w:val="99"/>
    <w:semiHidden/>
    <w:unhideWhenUsed/>
    <w:rsid w:val="001C5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78882">
      <w:bodyDiv w:val="1"/>
      <w:marLeft w:val="0"/>
      <w:marRight w:val="0"/>
      <w:marTop w:val="0"/>
      <w:marBottom w:val="0"/>
      <w:divBdr>
        <w:top w:val="none" w:sz="0" w:space="0" w:color="auto"/>
        <w:left w:val="none" w:sz="0" w:space="0" w:color="auto"/>
        <w:bottom w:val="none" w:sz="0" w:space="0" w:color="auto"/>
        <w:right w:val="none" w:sz="0" w:space="0" w:color="auto"/>
      </w:divBdr>
    </w:div>
    <w:div w:id="544872740">
      <w:bodyDiv w:val="1"/>
      <w:marLeft w:val="0"/>
      <w:marRight w:val="0"/>
      <w:marTop w:val="0"/>
      <w:marBottom w:val="0"/>
      <w:divBdr>
        <w:top w:val="none" w:sz="0" w:space="0" w:color="auto"/>
        <w:left w:val="none" w:sz="0" w:space="0" w:color="auto"/>
        <w:bottom w:val="none" w:sz="0" w:space="0" w:color="auto"/>
        <w:right w:val="none" w:sz="0" w:space="0" w:color="auto"/>
      </w:divBdr>
      <w:divsChild>
        <w:div w:id="121339860">
          <w:marLeft w:val="0"/>
          <w:marRight w:val="0"/>
          <w:marTop w:val="0"/>
          <w:marBottom w:val="0"/>
          <w:divBdr>
            <w:top w:val="none" w:sz="0" w:space="0" w:color="auto"/>
            <w:left w:val="none" w:sz="0" w:space="0" w:color="auto"/>
            <w:bottom w:val="none" w:sz="0" w:space="0" w:color="auto"/>
            <w:right w:val="none" w:sz="0" w:space="0" w:color="auto"/>
          </w:divBdr>
        </w:div>
      </w:divsChild>
    </w:div>
    <w:div w:id="550926473">
      <w:bodyDiv w:val="1"/>
      <w:marLeft w:val="0"/>
      <w:marRight w:val="0"/>
      <w:marTop w:val="0"/>
      <w:marBottom w:val="0"/>
      <w:divBdr>
        <w:top w:val="none" w:sz="0" w:space="0" w:color="auto"/>
        <w:left w:val="none" w:sz="0" w:space="0" w:color="auto"/>
        <w:bottom w:val="none" w:sz="0" w:space="0" w:color="auto"/>
        <w:right w:val="none" w:sz="0" w:space="0" w:color="auto"/>
      </w:divBdr>
    </w:div>
    <w:div w:id="20568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registryservices.gov.bc.ca" TargetMode="External"/><Relationship Id="rId18" Type="http://schemas.openxmlformats.org/officeDocument/2006/relationships/hyperlink" Target="https://flsc.ca/anti-money-laundering/"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www.lawsociety.bc.ca/Website/media/Shared/docs/trust/Trust-Accounting-Handbook.pdf" TargetMode="External"/><Relationship Id="rId7" Type="http://schemas.openxmlformats.org/officeDocument/2006/relationships/footnotes" Target="footnotes.xml"/><Relationship Id="rId12" Type="http://schemas.openxmlformats.org/officeDocument/2006/relationships/hyperlink" Target="https://www2.gov.bc.ca/assets/gov/employment-business-and-economic-development/business-management/permits-licences-and-registration/registries-packages/information_package_for_benefit_company.pdf" TargetMode="External"/><Relationship Id="rId17" Type="http://schemas.openxmlformats.org/officeDocument/2006/relationships/hyperlink" Target="mailto:practiceadvice@lsbc.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awsociety.bc.ca/support-and-resources-for-lawyers/discipline-advisories/august-31,-2021/" TargetMode="External"/><Relationship Id="rId20" Type="http://schemas.openxmlformats.org/officeDocument/2006/relationships/hyperlink" Target="http://www.cira.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gov.bc.ca/gov/content/taxes/property-taxes/property-transfer-tax/exemption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awsociety.bc.ca/Website/media/Shared/docs/bulletin/BB_2021-02-Summer.pdf?ext=.pdf"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www2.gov.bc.ca/gov/content/employment-business/business/bc-companies/transparency-register" TargetMode="External"/><Relationship Id="rId19" Type="http://schemas.openxmlformats.org/officeDocument/2006/relationships/hyperlink" Target="http://www.lawsociety.bc.ca/Website/media/Shared/docs/practice/resources/Ltrs-NonEngagement.pdf" TargetMode="External"/><Relationship Id="rId4" Type="http://schemas.openxmlformats.org/officeDocument/2006/relationships/styles" Target="styles.xml"/><Relationship Id="rId9" Type="http://schemas.openxmlformats.org/officeDocument/2006/relationships/hyperlink" Target="https://ised-isde.canada.ca/site/investment-canada-act/en" TargetMode="External"/><Relationship Id="rId14" Type="http://schemas.openxmlformats.org/officeDocument/2006/relationships/hyperlink" Target="http://www.cle.bc.ca"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5DD91-2344-49BB-B5CC-1C7F768F47CE}">
  <ds:schemaRefs>
    <ds:schemaRef ds:uri="http://schemas.openxmlformats.org/officeDocument/2006/bibliography"/>
  </ds:schemaRefs>
</ds:datastoreItem>
</file>

<file path=customXml/itemProps2.xml><?xml version="1.0" encoding="utf-8"?>
<ds:datastoreItem xmlns:ds="http://schemas.openxmlformats.org/officeDocument/2006/customXml" ds:itemID="{62E740E9-B8DD-488E-A271-3C9410E6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5584</Words>
  <Characters>34544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Share Purchase Procedure</vt:lpstr>
    </vt:vector>
  </TitlesOfParts>
  <Company/>
  <LinksUpToDate>false</LinksUpToDate>
  <CharactersWithSpaces>40048</CharactersWithSpaces>
  <SharedDoc>false</SharedDoc>
  <HLinks>
    <vt:vector size="78" baseType="variant">
      <vt:variant>
        <vt:i4>6946879</vt:i4>
      </vt:variant>
      <vt:variant>
        <vt:i4>36</vt:i4>
      </vt:variant>
      <vt:variant>
        <vt:i4>0</vt:i4>
      </vt:variant>
      <vt:variant>
        <vt:i4>5</vt:i4>
      </vt:variant>
      <vt:variant>
        <vt:lpwstr>https://www.lawsociety.bc.ca/Website/media/Shared/docs/trust/Trust-Accounting-Handbook.pdf</vt:lpwstr>
      </vt:variant>
      <vt:variant>
        <vt:lpwstr/>
      </vt:variant>
      <vt:variant>
        <vt:i4>2621479</vt:i4>
      </vt:variant>
      <vt:variant>
        <vt:i4>33</vt:i4>
      </vt:variant>
      <vt:variant>
        <vt:i4>0</vt:i4>
      </vt:variant>
      <vt:variant>
        <vt:i4>5</vt:i4>
      </vt:variant>
      <vt:variant>
        <vt:lpwstr>https://www.lawsociety.bc.ca/support-and-resources-for-lawyers/your-practice/solicitors-legal-opinions/</vt:lpwstr>
      </vt:variant>
      <vt:variant>
        <vt:lpwstr/>
      </vt:variant>
      <vt:variant>
        <vt:i4>7667771</vt:i4>
      </vt:variant>
      <vt:variant>
        <vt:i4>30</vt:i4>
      </vt:variant>
      <vt:variant>
        <vt:i4>0</vt:i4>
      </vt:variant>
      <vt:variant>
        <vt:i4>5</vt:i4>
      </vt:variant>
      <vt:variant>
        <vt:lpwstr>http://www.cira.ca/</vt:lpwstr>
      </vt:variant>
      <vt:variant>
        <vt:lpwstr/>
      </vt:variant>
      <vt:variant>
        <vt:i4>4980761</vt:i4>
      </vt:variant>
      <vt:variant>
        <vt:i4>27</vt:i4>
      </vt:variant>
      <vt:variant>
        <vt:i4>0</vt:i4>
      </vt:variant>
      <vt:variant>
        <vt:i4>5</vt:i4>
      </vt:variant>
      <vt:variant>
        <vt:lpwstr>https://www.lawsociety.bc.ca/Website/media/Shared/docs/practice/resources/Ltrs-NonEngagement.pdf</vt:lpwstr>
      </vt:variant>
      <vt:variant>
        <vt:lpwstr/>
      </vt:variant>
      <vt:variant>
        <vt:i4>524306</vt:i4>
      </vt:variant>
      <vt:variant>
        <vt:i4>24</vt:i4>
      </vt:variant>
      <vt:variant>
        <vt:i4>0</vt:i4>
      </vt:variant>
      <vt:variant>
        <vt:i4>5</vt:i4>
      </vt:variant>
      <vt:variant>
        <vt:lpwstr>https://www.lawsociety.bc.ca/about-us/covid-19-response/</vt:lpwstr>
      </vt:variant>
      <vt:variant>
        <vt:lpwstr/>
      </vt:variant>
      <vt:variant>
        <vt:i4>18</vt:i4>
      </vt:variant>
      <vt:variant>
        <vt:i4>21</vt:i4>
      </vt:variant>
      <vt:variant>
        <vt:i4>0</vt:i4>
      </vt:variant>
      <vt:variant>
        <vt:i4>5</vt:i4>
      </vt:variant>
      <vt:variant>
        <vt:lpwstr>http://www.cle.bc.ca/</vt:lpwstr>
      </vt:variant>
      <vt:variant>
        <vt:lpwstr/>
      </vt:variant>
      <vt:variant>
        <vt:i4>6225934</vt:i4>
      </vt:variant>
      <vt:variant>
        <vt:i4>18</vt:i4>
      </vt:variant>
      <vt:variant>
        <vt:i4>0</vt:i4>
      </vt:variant>
      <vt:variant>
        <vt:i4>5</vt:i4>
      </vt:variant>
      <vt:variant>
        <vt:lpwstr>http://www.ic.gc.ca/eic/site/cd-dgc.nsf/eng/cs08216.html</vt:lpwstr>
      </vt:variant>
      <vt:variant>
        <vt:lpwstr/>
      </vt:variant>
      <vt:variant>
        <vt:i4>4718701</vt:i4>
      </vt:variant>
      <vt:variant>
        <vt:i4>15</vt:i4>
      </vt:variant>
      <vt:variant>
        <vt:i4>0</vt:i4>
      </vt:variant>
      <vt:variant>
        <vt:i4>5</vt:i4>
      </vt:variant>
      <vt:variant>
        <vt:lpwstr>mailto:practiceadvice@lsbc.org</vt:lpwstr>
      </vt:variant>
      <vt:variant>
        <vt:lpwstr/>
      </vt:variant>
      <vt:variant>
        <vt:i4>2293861</vt:i4>
      </vt:variant>
      <vt:variant>
        <vt:i4>12</vt:i4>
      </vt:variant>
      <vt:variant>
        <vt:i4>0</vt:i4>
      </vt:variant>
      <vt:variant>
        <vt:i4>5</vt:i4>
      </vt:variant>
      <vt:variant>
        <vt:lpwstr>https://www2.gov.bc.ca/gov/content/governments/organizational-structure/ministries-organizations/ministries/citizens-services/bc-registries-online-services</vt:lpwstr>
      </vt:variant>
      <vt:variant>
        <vt:lpwstr/>
      </vt:variant>
      <vt:variant>
        <vt:i4>393243</vt:i4>
      </vt:variant>
      <vt:variant>
        <vt:i4>9</vt:i4>
      </vt:variant>
      <vt:variant>
        <vt:i4>0</vt:i4>
      </vt:variant>
      <vt:variant>
        <vt:i4>5</vt:i4>
      </vt:variant>
      <vt:variant>
        <vt:lpwstr>https://www2.gov.bc.ca/gov/content/employment-business/business/bc-companies/benefit-company</vt:lpwstr>
      </vt:variant>
      <vt:variant>
        <vt:lpwstr/>
      </vt:variant>
      <vt:variant>
        <vt:i4>3473533</vt:i4>
      </vt:variant>
      <vt:variant>
        <vt:i4>6</vt:i4>
      </vt:variant>
      <vt:variant>
        <vt:i4>0</vt:i4>
      </vt:variant>
      <vt:variant>
        <vt:i4>5</vt:i4>
      </vt:variant>
      <vt:variant>
        <vt:lpwstr>https://www2.gov.bc.ca/gov/content/employment-business/business/bc-companies/bearer-share-certificate-transparency-register</vt:lpwstr>
      </vt:variant>
      <vt:variant>
        <vt:lpwstr/>
      </vt:variant>
      <vt:variant>
        <vt:i4>5439507</vt:i4>
      </vt:variant>
      <vt:variant>
        <vt:i4>3</vt:i4>
      </vt:variant>
      <vt:variant>
        <vt:i4>0</vt:i4>
      </vt:variant>
      <vt:variant>
        <vt:i4>5</vt:i4>
      </vt:variant>
      <vt:variant>
        <vt:lpwstr>http://www.ic.gc.ca/eic/site/ica-lic.nsf/eng/lk81224.html</vt:lpwstr>
      </vt:variant>
      <vt:variant>
        <vt:lpwstr/>
      </vt:variant>
      <vt:variant>
        <vt:i4>4063328</vt:i4>
      </vt:variant>
      <vt:variant>
        <vt:i4>0</vt:i4>
      </vt:variant>
      <vt:variant>
        <vt:i4>0</vt:i4>
      </vt:variant>
      <vt:variant>
        <vt:i4>5</vt:i4>
      </vt:variant>
      <vt:variant>
        <vt:lpwstr>https://ltsa.ca/covid-19-resources/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Purchase Procedure</dc:title>
  <dc:subject/>
  <dc:creator/>
  <cp:keywords/>
  <cp:lastModifiedBy/>
  <cp:revision>1</cp:revision>
  <dcterms:created xsi:type="dcterms:W3CDTF">2024-01-29T19:09:00Z</dcterms:created>
  <dcterms:modified xsi:type="dcterms:W3CDTF">2024-01-29T19:09:00Z</dcterms:modified>
</cp:coreProperties>
</file>